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rawings/drawing1.xml" ContentType="application/vnd.openxmlformats-officedocument.drawingml.chartshapes+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1EF" w:rsidRPr="00CD01EF" w:rsidRDefault="00FD70D5" w:rsidP="00821BCE">
      <w:pPr>
        <w:spacing w:after="0" w:line="240" w:lineRule="auto"/>
        <w:jc w:val="center"/>
        <w:rPr>
          <w:rFonts w:ascii="Helvetica" w:eastAsia="Times New Roman" w:hAnsi="Helvetica" w:cs="Times New Roman"/>
          <w:b/>
          <w:bCs/>
          <w:noProof/>
          <w:color w:val="000000" w:themeColor="text1"/>
          <w:kern w:val="0"/>
          <w:sz w:val="30"/>
          <w:szCs w:val="30"/>
        </w:rPr>
      </w:pPr>
      <w:r w:rsidRPr="00FD70D5">
        <w:rPr>
          <w:rFonts w:ascii="Helvetica" w:eastAsia="Times New Roman" w:hAnsi="Helvetica" w:cs="Times New Roman"/>
          <w:b/>
          <w:bCs/>
          <w:noProof/>
          <w:color w:val="000000" w:themeColor="text1"/>
          <w:kern w:val="0"/>
          <w:sz w:val="30"/>
          <w:szCs w:val="30"/>
        </w:rPr>
        <w:t>Future of Regional Energy Integration: Pakistan’s Perspective</w:t>
      </w:r>
    </w:p>
    <w:p w:rsidR="00EC36B5" w:rsidRDefault="00EC36B5" w:rsidP="00CD01EF">
      <w:pPr>
        <w:spacing w:after="0" w:line="240" w:lineRule="auto"/>
        <w:rPr>
          <w:rFonts w:ascii="Helvetica" w:eastAsia="Times New Roman" w:hAnsi="Helvetica" w:cs="Times New Roman"/>
          <w:b/>
          <w:bCs/>
          <w:color w:val="000000" w:themeColor="text1"/>
          <w:kern w:val="36"/>
          <w:sz w:val="48"/>
          <w:szCs w:val="48"/>
          <w:lang w:val="en-GB"/>
        </w:rPr>
      </w:pPr>
    </w:p>
    <w:p w:rsidR="00CD01EF" w:rsidRDefault="00CD01EF" w:rsidP="00875B37">
      <w:pPr>
        <w:spacing w:after="0" w:line="240" w:lineRule="auto"/>
        <w:rPr>
          <w:rFonts w:ascii="Helvetica" w:eastAsia="Times New Roman" w:hAnsi="Helvetica" w:cs="Times New Roman"/>
          <w:b/>
          <w:bCs/>
          <w:color w:val="000000" w:themeColor="text1"/>
          <w:kern w:val="0"/>
          <w:sz w:val="30"/>
          <w:szCs w:val="30"/>
          <w:lang w:val="en-GB"/>
        </w:rPr>
      </w:pPr>
    </w:p>
    <w:p w:rsidR="00A36905" w:rsidRDefault="00821BCE" w:rsidP="00875B37">
      <w:pPr>
        <w:spacing w:after="0" w:line="240" w:lineRule="auto"/>
        <w:rPr>
          <w:rFonts w:ascii="Helvetica" w:eastAsia="Times New Roman" w:hAnsi="Helvetica" w:cs="Times New Roman"/>
          <w:b/>
          <w:bCs/>
          <w:color w:val="000000" w:themeColor="text1"/>
          <w:kern w:val="0"/>
          <w:sz w:val="30"/>
          <w:szCs w:val="30"/>
          <w:lang w:val="en-GB"/>
        </w:rPr>
      </w:pPr>
      <w:r>
        <w:rPr>
          <w:rFonts w:ascii="Helvetica" w:eastAsia="Times New Roman" w:hAnsi="Helvetica" w:cs="Times New Roman"/>
          <w:b/>
          <w:bCs/>
          <w:color w:val="000000" w:themeColor="text1"/>
          <w:kern w:val="0"/>
          <w:sz w:val="30"/>
          <w:szCs w:val="30"/>
          <w:lang w:val="en-GB"/>
        </w:rPr>
        <w:t>Mr.Taimur</w:t>
      </w:r>
      <w:r w:rsidR="00AF1F23">
        <w:rPr>
          <w:rFonts w:ascii="Helvetica" w:eastAsia="Times New Roman" w:hAnsi="Helvetica" w:cs="Times New Roman"/>
          <w:b/>
          <w:bCs/>
          <w:color w:val="000000" w:themeColor="text1"/>
          <w:kern w:val="0"/>
          <w:sz w:val="30"/>
          <w:szCs w:val="30"/>
          <w:lang w:val="en-GB"/>
        </w:rPr>
        <w:t xml:space="preserve"> </w:t>
      </w:r>
      <w:r w:rsidR="00C05049">
        <w:rPr>
          <w:rFonts w:ascii="Helvetica" w:eastAsia="Times New Roman" w:hAnsi="Helvetica" w:cs="Times New Roman"/>
          <w:b/>
          <w:bCs/>
          <w:color w:val="000000" w:themeColor="text1"/>
          <w:kern w:val="0"/>
          <w:sz w:val="30"/>
          <w:szCs w:val="30"/>
          <w:lang w:val="en-GB"/>
        </w:rPr>
        <w:t>Hussain</w:t>
      </w:r>
    </w:p>
    <w:p w:rsidR="004D23B2" w:rsidRPr="00026CB8" w:rsidRDefault="004D23B2" w:rsidP="00875B37">
      <w:pPr>
        <w:spacing w:after="0" w:line="240" w:lineRule="auto"/>
        <w:rPr>
          <w:rFonts w:ascii="Helvetica" w:hAnsi="Helvetica"/>
          <w:color w:val="515151"/>
          <w:shd w:val="clear" w:color="auto" w:fill="FFFFFF"/>
          <w:lang w:val="en-GB"/>
        </w:rPr>
      </w:pPr>
    </w:p>
    <w:p w:rsidR="003F1710" w:rsidRDefault="003F1710" w:rsidP="00ED73C8">
      <w:pPr>
        <w:rPr>
          <w:rFonts w:ascii="Helvetica" w:eastAsia="Times New Roman" w:hAnsi="Helvetica" w:cs="Times New Roman"/>
          <w:b/>
          <w:bCs/>
          <w:color w:val="000000" w:themeColor="text1"/>
          <w:kern w:val="0"/>
          <w:sz w:val="30"/>
          <w:szCs w:val="30"/>
          <w:lang w:val="en-GB"/>
        </w:rPr>
      </w:pPr>
    </w:p>
    <w:p w:rsidR="0090625C" w:rsidRDefault="00821BCE" w:rsidP="00ED73C8">
      <w:pPr>
        <w:rPr>
          <w:b/>
          <w:bCs/>
        </w:rPr>
      </w:pPr>
      <w:r>
        <w:rPr>
          <w:b/>
          <w:bCs/>
        </w:rPr>
        <w:t>March 6</w:t>
      </w:r>
      <w:r w:rsidR="00CA0C8E">
        <w:rPr>
          <w:b/>
          <w:bCs/>
        </w:rPr>
        <w:t>, 202</w:t>
      </w:r>
      <w:r w:rsidR="00687AEB">
        <w:rPr>
          <w:b/>
          <w:bCs/>
        </w:rPr>
        <w:t>4</w:t>
      </w:r>
    </w:p>
    <w:p w:rsidR="00CA0C8E" w:rsidRDefault="00CA0C8E" w:rsidP="00ED73C8">
      <w:pPr>
        <w:rPr>
          <w:rFonts w:ascii="Helvetica" w:eastAsia="Times New Roman" w:hAnsi="Helvetica" w:cs="Times New Roman"/>
          <w:b/>
          <w:bCs/>
          <w:color w:val="000000" w:themeColor="text1"/>
          <w:kern w:val="0"/>
          <w:sz w:val="30"/>
          <w:szCs w:val="30"/>
          <w:lang w:val="en-GB"/>
        </w:rPr>
      </w:pPr>
    </w:p>
    <w:p w:rsidR="004D6167" w:rsidRPr="00EC36B5" w:rsidRDefault="004D6167" w:rsidP="00ED73C8">
      <w:pPr>
        <w:rPr>
          <w:rFonts w:ascii="Helvetica" w:eastAsia="Times New Roman" w:hAnsi="Helvetica" w:cs="Times New Roman"/>
          <w:kern w:val="0"/>
          <w:sz w:val="30"/>
          <w:szCs w:val="30"/>
          <w:lang w:val="en-GB"/>
        </w:rPr>
      </w:pPr>
      <w:r w:rsidRPr="00026CB8">
        <w:rPr>
          <w:rFonts w:ascii="Helvetica" w:eastAsia="Times New Roman" w:hAnsi="Helvetica" w:cs="Times New Roman"/>
          <w:b/>
          <w:bCs/>
          <w:color w:val="000000" w:themeColor="text1"/>
          <w:kern w:val="0"/>
          <w:sz w:val="30"/>
          <w:szCs w:val="30"/>
          <w:lang w:val="en-GB"/>
        </w:rPr>
        <w:t xml:space="preserve">Email: </w:t>
      </w:r>
      <w:r w:rsidR="002E7E83" w:rsidRPr="002E7E83">
        <w:rPr>
          <w:rFonts w:ascii="Helvetica" w:eastAsia="Times New Roman" w:hAnsi="Helvetica" w:cs="Times New Roman"/>
          <w:color w:val="000000" w:themeColor="text1"/>
          <w:kern w:val="0"/>
          <w:sz w:val="30"/>
          <w:szCs w:val="30"/>
        </w:rPr>
        <w:t> </w:t>
      </w:r>
      <w:r w:rsidR="00C05049">
        <w:rPr>
          <w:rFonts w:ascii="Helvetica" w:eastAsia="Times New Roman" w:hAnsi="Helvetica" w:cs="Times New Roman"/>
          <w:color w:val="000000" w:themeColor="text1"/>
          <w:kern w:val="0"/>
          <w:sz w:val="30"/>
          <w:szCs w:val="30"/>
        </w:rPr>
        <w:t>taimur_hussain@hotmail.com</w:t>
      </w:r>
    </w:p>
    <w:p w:rsidR="00321FF1" w:rsidRDefault="00321FF1" w:rsidP="00E226B7">
      <w:pPr>
        <w:spacing w:after="0" w:line="240" w:lineRule="auto"/>
        <w:rPr>
          <w:rFonts w:ascii="Helvetica" w:eastAsia="Times New Roman" w:hAnsi="Helvetica" w:cs="Times New Roman"/>
          <w:i/>
          <w:iCs/>
          <w:color w:val="FF0000"/>
          <w:kern w:val="0"/>
          <w:sz w:val="30"/>
          <w:szCs w:val="30"/>
          <w:lang w:val="en-GB"/>
        </w:rPr>
      </w:pPr>
    </w:p>
    <w:p w:rsidR="00321FF1" w:rsidRDefault="00321FF1" w:rsidP="00E226B7">
      <w:pPr>
        <w:spacing w:after="0" w:line="240" w:lineRule="auto"/>
        <w:rPr>
          <w:rFonts w:ascii="Helvetica" w:eastAsia="Times New Roman" w:hAnsi="Helvetica" w:cs="Times New Roman"/>
          <w:i/>
          <w:iCs/>
          <w:color w:val="FF0000"/>
          <w:kern w:val="0"/>
          <w:sz w:val="30"/>
          <w:szCs w:val="30"/>
          <w:lang w:val="en-GB"/>
        </w:rPr>
      </w:pPr>
    </w:p>
    <w:p w:rsidR="00832AB8" w:rsidRPr="00063975" w:rsidRDefault="00657CC1" w:rsidP="00E226B7">
      <w:pPr>
        <w:spacing w:after="0" w:line="240" w:lineRule="auto"/>
        <w:rPr>
          <w:rFonts w:ascii="Helvetica" w:eastAsia="Times New Roman" w:hAnsi="Helvetica" w:cs="Times New Roman"/>
          <w:kern w:val="0"/>
          <w:sz w:val="30"/>
          <w:szCs w:val="30"/>
          <w:lang w:val="en-GB"/>
        </w:rPr>
      </w:pPr>
      <w:r w:rsidRPr="00657CC1">
        <w:rPr>
          <w:rFonts w:ascii="Helvetica" w:eastAsia="Times New Roman" w:hAnsi="Helvetica" w:cs="Times New Roman"/>
          <w:i/>
          <w:iCs/>
          <w:kern w:val="0"/>
          <w:sz w:val="30"/>
          <w:szCs w:val="30"/>
          <w:lang w:val="en-GB"/>
        </w:rPr>
        <w:t>This INSIGHT analyses prospects of Regional Energy Integration (REI) specifically from Pakistan’s perspective, emphasising electricity requirements because South Asia lacks fossil fuel resources. It explores the correlation between energy consumption and growth, climate change and the need for Renewable Energy (RE), existing REI initiatives and their analysis and finally, options for Pakistan.</w:t>
      </w:r>
    </w:p>
    <w:p w:rsidR="00FD6AC1" w:rsidRDefault="00FD6AC1" w:rsidP="006B6FD9">
      <w:pPr>
        <w:autoSpaceDE w:val="0"/>
        <w:autoSpaceDN w:val="0"/>
        <w:adjustRightInd w:val="0"/>
        <w:spacing w:after="0" w:line="240" w:lineRule="auto"/>
        <w:jc w:val="center"/>
        <w:rPr>
          <w:rFonts w:ascii="Garamond" w:hAnsi="Garamond"/>
          <w:noProof/>
          <w:color w:val="1E1E1E"/>
          <w:sz w:val="30"/>
          <w:szCs w:val="30"/>
          <w:shd w:val="clear" w:color="auto" w:fill="FFFFFF"/>
        </w:rPr>
      </w:pPr>
    </w:p>
    <w:p w:rsidR="00FD6AC1" w:rsidRDefault="00FD6AC1" w:rsidP="006B6FD9">
      <w:pPr>
        <w:autoSpaceDE w:val="0"/>
        <w:autoSpaceDN w:val="0"/>
        <w:adjustRightInd w:val="0"/>
        <w:spacing w:after="0" w:line="240" w:lineRule="auto"/>
        <w:jc w:val="center"/>
        <w:rPr>
          <w:rFonts w:ascii="Garamond" w:hAnsi="Garamond"/>
          <w:noProof/>
          <w:color w:val="1E1E1E"/>
          <w:sz w:val="30"/>
          <w:szCs w:val="30"/>
          <w:shd w:val="clear" w:color="auto" w:fill="FFFFFF"/>
        </w:rPr>
      </w:pPr>
    </w:p>
    <w:p w:rsidR="00FD6AC1" w:rsidRDefault="00FD6AC1" w:rsidP="006B6FD9">
      <w:pPr>
        <w:autoSpaceDE w:val="0"/>
        <w:autoSpaceDN w:val="0"/>
        <w:adjustRightInd w:val="0"/>
        <w:spacing w:after="0" w:line="240" w:lineRule="auto"/>
        <w:jc w:val="center"/>
        <w:rPr>
          <w:rFonts w:ascii="Garamond" w:hAnsi="Garamond"/>
          <w:noProof/>
          <w:color w:val="1E1E1E"/>
          <w:sz w:val="30"/>
          <w:szCs w:val="30"/>
          <w:shd w:val="clear" w:color="auto" w:fill="FFFFFF"/>
        </w:rPr>
      </w:pPr>
    </w:p>
    <w:p w:rsidR="00FD6AC1" w:rsidRPr="00CD01EF" w:rsidRDefault="00FD6AC1" w:rsidP="006B6FD9">
      <w:pPr>
        <w:autoSpaceDE w:val="0"/>
        <w:autoSpaceDN w:val="0"/>
        <w:adjustRightInd w:val="0"/>
        <w:spacing w:after="0" w:line="240" w:lineRule="auto"/>
        <w:jc w:val="center"/>
        <w:rPr>
          <w:rFonts w:ascii="Garamond" w:hAnsi="Garamond"/>
          <w:color w:val="1E1E1E"/>
          <w:sz w:val="30"/>
          <w:szCs w:val="30"/>
          <w:shd w:val="clear" w:color="auto" w:fill="FFFFFF"/>
          <w:lang w:val="en-GB"/>
        </w:rPr>
      </w:pPr>
    </w:p>
    <w:p w:rsidR="00D261C5" w:rsidRDefault="00D261C5" w:rsidP="00D261C5">
      <w:pPr>
        <w:autoSpaceDE w:val="0"/>
        <w:autoSpaceDN w:val="0"/>
        <w:adjustRightInd w:val="0"/>
        <w:spacing w:after="0" w:line="240" w:lineRule="auto"/>
        <w:jc w:val="both"/>
        <w:rPr>
          <w:rFonts w:ascii="Garamond" w:hAnsi="Garamond"/>
          <w:color w:val="1E1E1E"/>
          <w:sz w:val="30"/>
          <w:szCs w:val="30"/>
          <w:shd w:val="clear" w:color="auto" w:fill="FFFFFF"/>
          <w:lang w:val="en-GB"/>
        </w:rPr>
      </w:pPr>
      <w:r>
        <w:rPr>
          <w:rFonts w:ascii="Garamond" w:hAnsi="Garamond"/>
          <w:color w:val="1E1E1E"/>
          <w:sz w:val="30"/>
          <w:szCs w:val="30"/>
          <w:shd w:val="clear" w:color="auto" w:fill="FFFFFF"/>
          <w:lang w:val="en-GB"/>
        </w:rPr>
        <w:tab/>
        <w:t xml:space="preserve">Eight </w:t>
      </w:r>
      <w:r w:rsidRPr="00D261C5">
        <w:rPr>
          <w:rFonts w:ascii="Garamond" w:hAnsi="Garamond"/>
          <w:color w:val="1E1E1E"/>
          <w:sz w:val="30"/>
          <w:szCs w:val="30"/>
          <w:shd w:val="clear" w:color="auto" w:fill="FFFFFF"/>
          <w:lang w:val="en-GB"/>
        </w:rPr>
        <w:t xml:space="preserve">countries of South Asia (SA) together cover 4% of the world’s land area and 24% of the world’s population.  If SA is viewed as a single entity, it is the fifth-largest economy in terms of Gross Domestic Product (GDP).  However, in terms of trade and connectivity, it is the least integrated compared to other regional groupings.  In Regional Energy Integration (REI), the situation does not fare any better, especially for Pakistan. </w:t>
      </w:r>
    </w:p>
    <w:p w:rsidR="007B775A" w:rsidRPr="00D261C5" w:rsidRDefault="007B775A" w:rsidP="00D261C5">
      <w:pPr>
        <w:autoSpaceDE w:val="0"/>
        <w:autoSpaceDN w:val="0"/>
        <w:adjustRightInd w:val="0"/>
        <w:spacing w:after="0" w:line="240" w:lineRule="auto"/>
        <w:jc w:val="both"/>
        <w:rPr>
          <w:rFonts w:ascii="Garamond" w:hAnsi="Garamond"/>
          <w:color w:val="1E1E1E"/>
          <w:sz w:val="30"/>
          <w:szCs w:val="30"/>
          <w:shd w:val="clear" w:color="auto" w:fill="FFFFFF"/>
          <w:lang w:val="en-GB"/>
        </w:rPr>
      </w:pPr>
    </w:p>
    <w:p w:rsidR="00D261C5" w:rsidRDefault="00D261C5" w:rsidP="00D261C5">
      <w:pPr>
        <w:autoSpaceDE w:val="0"/>
        <w:autoSpaceDN w:val="0"/>
        <w:adjustRightInd w:val="0"/>
        <w:spacing w:after="0" w:line="240" w:lineRule="auto"/>
        <w:jc w:val="both"/>
        <w:rPr>
          <w:rFonts w:ascii="Garamond" w:hAnsi="Garamond"/>
          <w:color w:val="1E1E1E"/>
          <w:sz w:val="30"/>
          <w:szCs w:val="30"/>
          <w:shd w:val="clear" w:color="auto" w:fill="FFFFFF"/>
          <w:lang w:val="en-GB"/>
        </w:rPr>
      </w:pPr>
      <w:r w:rsidRPr="00D261C5">
        <w:rPr>
          <w:rFonts w:ascii="Garamond" w:hAnsi="Garamond"/>
          <w:color w:val="1E1E1E"/>
          <w:sz w:val="30"/>
          <w:szCs w:val="30"/>
          <w:shd w:val="clear" w:color="auto" w:fill="FFFFFF"/>
          <w:lang w:val="en-GB"/>
        </w:rPr>
        <w:tab/>
        <w:t xml:space="preserve">Pakistan’s energy sector remains a significant hindrance to industrial development and growth. With a generation capacity of 39,772 megawatts (MW), Pakistan is grappling with an annual shortfall of over 5000 MW.  The following data explains the energy-growth linkage by comparing it with other SA countries. There is a general correlation between per capita energy consumption and growth. Pakistan lags behind the SA average in both categories.  </w:t>
      </w:r>
    </w:p>
    <w:p w:rsidR="00C90C8D" w:rsidRDefault="00C90C8D" w:rsidP="00C90C8D">
      <w:pPr>
        <w:autoSpaceDE w:val="0"/>
        <w:autoSpaceDN w:val="0"/>
        <w:adjustRightInd w:val="0"/>
        <w:spacing w:after="0" w:line="240" w:lineRule="auto"/>
        <w:jc w:val="center"/>
        <w:rPr>
          <w:rFonts w:ascii="Garamond" w:hAnsi="Garamond"/>
          <w:b/>
          <w:color w:val="1E1E1E"/>
          <w:sz w:val="30"/>
          <w:szCs w:val="30"/>
          <w:shd w:val="clear" w:color="auto" w:fill="FFFFFF"/>
          <w:lang w:val="en-GB"/>
        </w:rPr>
      </w:pPr>
      <w:r w:rsidRPr="00C90C8D">
        <w:rPr>
          <w:rFonts w:ascii="Garamond" w:hAnsi="Garamond"/>
          <w:b/>
          <w:color w:val="1E1E1E"/>
          <w:sz w:val="30"/>
          <w:szCs w:val="30"/>
          <w:shd w:val="clear" w:color="auto" w:fill="FFFFFF"/>
          <w:lang w:val="en-GB"/>
        </w:rPr>
        <w:lastRenderedPageBreak/>
        <w:t>Graph-1: Energy and Economy Linkage</w:t>
      </w:r>
      <w:r w:rsidRPr="00C90C8D">
        <w:rPr>
          <w:rFonts w:ascii="Garamond" w:hAnsi="Garamond"/>
          <w:b/>
          <w:color w:val="1E1E1E"/>
          <w:sz w:val="30"/>
          <w:szCs w:val="30"/>
          <w:shd w:val="clear" w:color="auto" w:fill="FFFFFF"/>
          <w:lang w:val="en-GB"/>
        </w:rPr>
        <w:cr/>
      </w:r>
    </w:p>
    <w:p w:rsidR="00507A14" w:rsidRPr="00C90C8D" w:rsidRDefault="002D3911" w:rsidP="00C90C8D">
      <w:pPr>
        <w:autoSpaceDE w:val="0"/>
        <w:autoSpaceDN w:val="0"/>
        <w:adjustRightInd w:val="0"/>
        <w:spacing w:after="0" w:line="240" w:lineRule="auto"/>
        <w:jc w:val="center"/>
        <w:rPr>
          <w:rFonts w:ascii="Garamond" w:hAnsi="Garamond"/>
          <w:b/>
          <w:color w:val="1E1E1E"/>
          <w:sz w:val="30"/>
          <w:szCs w:val="30"/>
          <w:shd w:val="clear" w:color="auto" w:fill="FFFFFF"/>
          <w:lang w:val="en-GB"/>
        </w:rPr>
      </w:pPr>
      <w:r>
        <w:rPr>
          <w:rFonts w:ascii="Arial" w:hAnsi="Arial" w:cs="Arial"/>
          <w:b/>
          <w:noProof/>
        </w:rPr>
        <w:drawing>
          <wp:anchor distT="0" distB="0" distL="114300" distR="114300" simplePos="0" relativeHeight="251659264" behindDoc="1" locked="0" layoutInCell="1" allowOverlap="1">
            <wp:simplePos x="0" y="0"/>
            <wp:positionH relativeFrom="column">
              <wp:posOffset>1123950</wp:posOffset>
            </wp:positionH>
            <wp:positionV relativeFrom="paragraph">
              <wp:posOffset>23495</wp:posOffset>
            </wp:positionV>
            <wp:extent cx="3609340" cy="2587625"/>
            <wp:effectExtent l="19050" t="19050" r="10160" b="22225"/>
            <wp:wrapTight wrapText="bothSides">
              <wp:wrapPolygon edited="0">
                <wp:start x="-114" y="-159"/>
                <wp:lineTo x="-114" y="21627"/>
                <wp:lineTo x="21547" y="21627"/>
                <wp:lineTo x="21547" y="-159"/>
                <wp:lineTo x="-114" y="-159"/>
              </wp:wrapPolygon>
            </wp:wrapTight>
            <wp:docPr id="21" name="Picture 21" descr="C:\Users\patomh\Downloads\Screenshot (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tomh\Downloads\Screenshot (58).pn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09340" cy="2587625"/>
                    </a:xfrm>
                    <a:prstGeom prst="rect">
                      <a:avLst/>
                    </a:prstGeom>
                    <a:noFill/>
                    <a:ln>
                      <a:solidFill>
                        <a:schemeClr val="tx1"/>
                      </a:solidFill>
                    </a:ln>
                  </pic:spPr>
                </pic:pic>
              </a:graphicData>
            </a:graphic>
          </wp:anchor>
        </w:drawing>
      </w:r>
      <w:r w:rsidR="00507A14" w:rsidRPr="00C90C8D">
        <w:rPr>
          <w:rFonts w:ascii="Garamond" w:hAnsi="Garamond"/>
          <w:b/>
          <w:color w:val="1E1E1E"/>
          <w:sz w:val="30"/>
          <w:szCs w:val="30"/>
          <w:shd w:val="clear" w:color="auto" w:fill="FFFFFF"/>
          <w:lang w:val="en-GB"/>
        </w:rPr>
        <w:cr/>
      </w:r>
    </w:p>
    <w:p w:rsidR="00CD01EF" w:rsidRPr="00CD01EF" w:rsidRDefault="00CD01EF" w:rsidP="00CD01EF">
      <w:pPr>
        <w:autoSpaceDE w:val="0"/>
        <w:autoSpaceDN w:val="0"/>
        <w:adjustRightInd w:val="0"/>
        <w:spacing w:after="0" w:line="240" w:lineRule="auto"/>
        <w:rPr>
          <w:rFonts w:ascii="Garamond" w:hAnsi="Garamond"/>
          <w:color w:val="1E1E1E"/>
          <w:sz w:val="30"/>
          <w:szCs w:val="30"/>
          <w:shd w:val="clear" w:color="auto" w:fill="FFFFFF"/>
          <w:lang w:val="en-GB"/>
        </w:rPr>
      </w:pPr>
    </w:p>
    <w:p w:rsidR="002D3911" w:rsidRDefault="002D3911" w:rsidP="00CD01EF">
      <w:pPr>
        <w:autoSpaceDE w:val="0"/>
        <w:autoSpaceDN w:val="0"/>
        <w:adjustRightInd w:val="0"/>
        <w:spacing w:after="0" w:line="240" w:lineRule="auto"/>
        <w:rPr>
          <w:rFonts w:ascii="Garamond" w:hAnsi="Garamond"/>
          <w:color w:val="1E1E1E"/>
          <w:sz w:val="30"/>
          <w:szCs w:val="30"/>
          <w:shd w:val="clear" w:color="auto" w:fill="FFFFFF"/>
          <w:lang w:val="en-GB"/>
        </w:rPr>
      </w:pPr>
    </w:p>
    <w:p w:rsidR="002D3911" w:rsidRDefault="002D3911" w:rsidP="00CD01EF">
      <w:pPr>
        <w:autoSpaceDE w:val="0"/>
        <w:autoSpaceDN w:val="0"/>
        <w:adjustRightInd w:val="0"/>
        <w:spacing w:after="0" w:line="240" w:lineRule="auto"/>
        <w:rPr>
          <w:rFonts w:ascii="Garamond" w:hAnsi="Garamond"/>
          <w:color w:val="1E1E1E"/>
          <w:sz w:val="30"/>
          <w:szCs w:val="30"/>
          <w:shd w:val="clear" w:color="auto" w:fill="FFFFFF"/>
          <w:lang w:val="en-GB"/>
        </w:rPr>
      </w:pPr>
    </w:p>
    <w:p w:rsidR="002D3911" w:rsidRDefault="002D3911" w:rsidP="00CD01EF">
      <w:pPr>
        <w:autoSpaceDE w:val="0"/>
        <w:autoSpaceDN w:val="0"/>
        <w:adjustRightInd w:val="0"/>
        <w:spacing w:after="0" w:line="240" w:lineRule="auto"/>
        <w:rPr>
          <w:rFonts w:ascii="Garamond" w:hAnsi="Garamond"/>
          <w:color w:val="1E1E1E"/>
          <w:sz w:val="30"/>
          <w:szCs w:val="30"/>
          <w:shd w:val="clear" w:color="auto" w:fill="FFFFFF"/>
          <w:lang w:val="en-GB"/>
        </w:rPr>
      </w:pPr>
    </w:p>
    <w:p w:rsidR="002D3911" w:rsidRDefault="002D3911" w:rsidP="00CD01EF">
      <w:pPr>
        <w:autoSpaceDE w:val="0"/>
        <w:autoSpaceDN w:val="0"/>
        <w:adjustRightInd w:val="0"/>
        <w:spacing w:after="0" w:line="240" w:lineRule="auto"/>
        <w:rPr>
          <w:rFonts w:ascii="Garamond" w:hAnsi="Garamond"/>
          <w:color w:val="1E1E1E"/>
          <w:sz w:val="30"/>
          <w:szCs w:val="30"/>
          <w:shd w:val="clear" w:color="auto" w:fill="FFFFFF"/>
          <w:lang w:val="en-GB"/>
        </w:rPr>
      </w:pPr>
    </w:p>
    <w:p w:rsidR="002D3911" w:rsidRDefault="002D3911" w:rsidP="00CD01EF">
      <w:pPr>
        <w:autoSpaceDE w:val="0"/>
        <w:autoSpaceDN w:val="0"/>
        <w:adjustRightInd w:val="0"/>
        <w:spacing w:after="0" w:line="240" w:lineRule="auto"/>
        <w:rPr>
          <w:rFonts w:ascii="Garamond" w:hAnsi="Garamond"/>
          <w:color w:val="1E1E1E"/>
          <w:sz w:val="30"/>
          <w:szCs w:val="30"/>
          <w:shd w:val="clear" w:color="auto" w:fill="FFFFFF"/>
          <w:lang w:val="en-GB"/>
        </w:rPr>
      </w:pPr>
    </w:p>
    <w:p w:rsidR="002D3911" w:rsidRDefault="002D3911" w:rsidP="00CD01EF">
      <w:pPr>
        <w:autoSpaceDE w:val="0"/>
        <w:autoSpaceDN w:val="0"/>
        <w:adjustRightInd w:val="0"/>
        <w:spacing w:after="0" w:line="240" w:lineRule="auto"/>
        <w:rPr>
          <w:rFonts w:ascii="Garamond" w:hAnsi="Garamond"/>
          <w:color w:val="1E1E1E"/>
          <w:sz w:val="30"/>
          <w:szCs w:val="30"/>
          <w:shd w:val="clear" w:color="auto" w:fill="FFFFFF"/>
          <w:lang w:val="en-GB"/>
        </w:rPr>
      </w:pPr>
    </w:p>
    <w:p w:rsidR="002D3911" w:rsidRDefault="002D3911" w:rsidP="00CD01EF">
      <w:pPr>
        <w:autoSpaceDE w:val="0"/>
        <w:autoSpaceDN w:val="0"/>
        <w:adjustRightInd w:val="0"/>
        <w:spacing w:after="0" w:line="240" w:lineRule="auto"/>
        <w:rPr>
          <w:rFonts w:ascii="Garamond" w:hAnsi="Garamond"/>
          <w:color w:val="1E1E1E"/>
          <w:sz w:val="30"/>
          <w:szCs w:val="30"/>
          <w:shd w:val="clear" w:color="auto" w:fill="FFFFFF"/>
          <w:lang w:val="en-GB"/>
        </w:rPr>
      </w:pPr>
    </w:p>
    <w:p w:rsidR="002D3911" w:rsidRDefault="002D3911" w:rsidP="00CD01EF">
      <w:pPr>
        <w:autoSpaceDE w:val="0"/>
        <w:autoSpaceDN w:val="0"/>
        <w:adjustRightInd w:val="0"/>
        <w:spacing w:after="0" w:line="240" w:lineRule="auto"/>
        <w:rPr>
          <w:rFonts w:ascii="Garamond" w:hAnsi="Garamond"/>
          <w:color w:val="1E1E1E"/>
          <w:sz w:val="30"/>
          <w:szCs w:val="30"/>
          <w:shd w:val="clear" w:color="auto" w:fill="FFFFFF"/>
          <w:lang w:val="en-GB"/>
        </w:rPr>
      </w:pPr>
    </w:p>
    <w:p w:rsidR="002D3911" w:rsidRDefault="002D3911" w:rsidP="00CD01EF">
      <w:pPr>
        <w:autoSpaceDE w:val="0"/>
        <w:autoSpaceDN w:val="0"/>
        <w:adjustRightInd w:val="0"/>
        <w:spacing w:after="0" w:line="240" w:lineRule="auto"/>
        <w:rPr>
          <w:rFonts w:ascii="Garamond" w:hAnsi="Garamond"/>
          <w:color w:val="1E1E1E"/>
          <w:sz w:val="30"/>
          <w:szCs w:val="30"/>
          <w:shd w:val="clear" w:color="auto" w:fill="FFFFFF"/>
          <w:lang w:val="en-GB"/>
        </w:rPr>
      </w:pPr>
    </w:p>
    <w:p w:rsidR="002D3911" w:rsidRDefault="002D3911" w:rsidP="00CD01EF">
      <w:pPr>
        <w:autoSpaceDE w:val="0"/>
        <w:autoSpaceDN w:val="0"/>
        <w:adjustRightInd w:val="0"/>
        <w:spacing w:after="0" w:line="240" w:lineRule="auto"/>
        <w:rPr>
          <w:rFonts w:ascii="Garamond" w:hAnsi="Garamond"/>
          <w:color w:val="1E1E1E"/>
          <w:sz w:val="30"/>
          <w:szCs w:val="30"/>
          <w:shd w:val="clear" w:color="auto" w:fill="FFFFFF"/>
          <w:lang w:val="en-GB"/>
        </w:rPr>
      </w:pPr>
    </w:p>
    <w:p w:rsidR="002D3911" w:rsidRDefault="002D3911" w:rsidP="00CD01EF">
      <w:pPr>
        <w:autoSpaceDE w:val="0"/>
        <w:autoSpaceDN w:val="0"/>
        <w:adjustRightInd w:val="0"/>
        <w:spacing w:after="0" w:line="240" w:lineRule="auto"/>
        <w:rPr>
          <w:rFonts w:ascii="Garamond" w:hAnsi="Garamond"/>
          <w:color w:val="1E1E1E"/>
          <w:sz w:val="30"/>
          <w:szCs w:val="30"/>
          <w:shd w:val="clear" w:color="auto" w:fill="FFFFFF"/>
          <w:lang w:val="en-GB"/>
        </w:rPr>
      </w:pPr>
    </w:p>
    <w:p w:rsidR="00964E7C" w:rsidRDefault="00964E7C" w:rsidP="00964E7C">
      <w:pPr>
        <w:autoSpaceDE w:val="0"/>
        <w:autoSpaceDN w:val="0"/>
        <w:adjustRightInd w:val="0"/>
        <w:spacing w:after="0" w:line="240" w:lineRule="auto"/>
        <w:jc w:val="center"/>
        <w:rPr>
          <w:rFonts w:ascii="Garamond" w:hAnsi="Garamond"/>
          <w:b/>
          <w:color w:val="1E1E1E"/>
          <w:sz w:val="30"/>
          <w:szCs w:val="30"/>
          <w:shd w:val="clear" w:color="auto" w:fill="FFFFFF"/>
          <w:lang w:val="en-GB"/>
        </w:rPr>
      </w:pPr>
      <w:r w:rsidRPr="00964E7C">
        <w:rPr>
          <w:rFonts w:ascii="Garamond" w:hAnsi="Garamond"/>
          <w:b/>
          <w:color w:val="1E1E1E"/>
          <w:sz w:val="30"/>
          <w:szCs w:val="30"/>
          <w:shd w:val="clear" w:color="auto" w:fill="FFFFFF"/>
          <w:lang w:val="en-GB"/>
        </w:rPr>
        <w:t>Graph-2: Graph Representing Loss inValue (% of Sales) due to Electric Outages</w:t>
      </w:r>
    </w:p>
    <w:p w:rsidR="00964E7C" w:rsidRPr="00964E7C" w:rsidRDefault="001C546A" w:rsidP="00964E7C">
      <w:pPr>
        <w:autoSpaceDE w:val="0"/>
        <w:autoSpaceDN w:val="0"/>
        <w:adjustRightInd w:val="0"/>
        <w:spacing w:after="0" w:line="240" w:lineRule="auto"/>
        <w:jc w:val="center"/>
        <w:rPr>
          <w:rFonts w:ascii="Garamond" w:hAnsi="Garamond"/>
          <w:b/>
          <w:color w:val="1E1E1E"/>
          <w:sz w:val="30"/>
          <w:szCs w:val="30"/>
          <w:shd w:val="clear" w:color="auto" w:fill="FFFFFF"/>
          <w:lang w:val="en-GB"/>
        </w:rPr>
      </w:pPr>
      <w:r w:rsidRPr="00E41B86">
        <w:rPr>
          <w:rFonts w:ascii="Constantia" w:hAnsi="Constantia"/>
          <w:b/>
          <w:noProof/>
        </w:rPr>
        <w:drawing>
          <wp:anchor distT="0" distB="0" distL="114300" distR="114300" simplePos="0" relativeHeight="251661312" behindDoc="1" locked="0" layoutInCell="1" allowOverlap="1">
            <wp:simplePos x="0" y="0"/>
            <wp:positionH relativeFrom="column">
              <wp:posOffset>400050</wp:posOffset>
            </wp:positionH>
            <wp:positionV relativeFrom="paragraph">
              <wp:posOffset>133350</wp:posOffset>
            </wp:positionV>
            <wp:extent cx="4962525" cy="2495550"/>
            <wp:effectExtent l="0" t="0" r="9525" b="19050"/>
            <wp:wrapTight wrapText="bothSides">
              <wp:wrapPolygon edited="0">
                <wp:start x="0" y="0"/>
                <wp:lineTo x="0" y="21600"/>
                <wp:lineTo x="21559" y="21600"/>
                <wp:lineTo x="21559" y="0"/>
                <wp:lineTo x="0" y="0"/>
              </wp:wrapPolygon>
            </wp:wrapTight>
            <wp:docPr id="38106849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964E7C" w:rsidRDefault="00964E7C" w:rsidP="00CD01EF">
      <w:pPr>
        <w:autoSpaceDE w:val="0"/>
        <w:autoSpaceDN w:val="0"/>
        <w:adjustRightInd w:val="0"/>
        <w:spacing w:after="0" w:line="240" w:lineRule="auto"/>
        <w:rPr>
          <w:rFonts w:ascii="Garamond" w:hAnsi="Garamond"/>
          <w:color w:val="1E1E1E"/>
          <w:sz w:val="30"/>
          <w:szCs w:val="30"/>
          <w:shd w:val="clear" w:color="auto" w:fill="FFFFFF"/>
          <w:lang w:val="en-GB"/>
        </w:rPr>
      </w:pPr>
    </w:p>
    <w:p w:rsidR="001C546A" w:rsidRDefault="001C546A" w:rsidP="00CD01EF">
      <w:pPr>
        <w:autoSpaceDE w:val="0"/>
        <w:autoSpaceDN w:val="0"/>
        <w:adjustRightInd w:val="0"/>
        <w:spacing w:after="0" w:line="240" w:lineRule="auto"/>
        <w:rPr>
          <w:rFonts w:ascii="Garamond" w:hAnsi="Garamond"/>
          <w:color w:val="1E1E1E"/>
          <w:sz w:val="30"/>
          <w:szCs w:val="30"/>
          <w:shd w:val="clear" w:color="auto" w:fill="FFFFFF"/>
          <w:lang w:val="en-GB"/>
        </w:rPr>
      </w:pPr>
    </w:p>
    <w:p w:rsidR="001C546A" w:rsidRDefault="001C546A" w:rsidP="00CD01EF">
      <w:pPr>
        <w:autoSpaceDE w:val="0"/>
        <w:autoSpaceDN w:val="0"/>
        <w:adjustRightInd w:val="0"/>
        <w:spacing w:after="0" w:line="240" w:lineRule="auto"/>
        <w:rPr>
          <w:rFonts w:ascii="Garamond" w:hAnsi="Garamond"/>
          <w:color w:val="1E1E1E"/>
          <w:sz w:val="30"/>
          <w:szCs w:val="30"/>
          <w:shd w:val="clear" w:color="auto" w:fill="FFFFFF"/>
          <w:lang w:val="en-GB"/>
        </w:rPr>
      </w:pPr>
    </w:p>
    <w:p w:rsidR="001C546A" w:rsidRDefault="001C546A" w:rsidP="00CD01EF">
      <w:pPr>
        <w:autoSpaceDE w:val="0"/>
        <w:autoSpaceDN w:val="0"/>
        <w:adjustRightInd w:val="0"/>
        <w:spacing w:after="0" w:line="240" w:lineRule="auto"/>
        <w:rPr>
          <w:rFonts w:ascii="Garamond" w:hAnsi="Garamond"/>
          <w:color w:val="1E1E1E"/>
          <w:sz w:val="30"/>
          <w:szCs w:val="30"/>
          <w:shd w:val="clear" w:color="auto" w:fill="FFFFFF"/>
          <w:lang w:val="en-GB"/>
        </w:rPr>
      </w:pPr>
    </w:p>
    <w:p w:rsidR="001C546A" w:rsidRDefault="001C546A" w:rsidP="00CD01EF">
      <w:pPr>
        <w:autoSpaceDE w:val="0"/>
        <w:autoSpaceDN w:val="0"/>
        <w:adjustRightInd w:val="0"/>
        <w:spacing w:after="0" w:line="240" w:lineRule="auto"/>
        <w:rPr>
          <w:rFonts w:ascii="Garamond" w:hAnsi="Garamond"/>
          <w:color w:val="1E1E1E"/>
          <w:sz w:val="30"/>
          <w:szCs w:val="30"/>
          <w:shd w:val="clear" w:color="auto" w:fill="FFFFFF"/>
          <w:lang w:val="en-GB"/>
        </w:rPr>
      </w:pPr>
    </w:p>
    <w:p w:rsidR="001C546A" w:rsidRDefault="001C546A" w:rsidP="00CD01EF">
      <w:pPr>
        <w:autoSpaceDE w:val="0"/>
        <w:autoSpaceDN w:val="0"/>
        <w:adjustRightInd w:val="0"/>
        <w:spacing w:after="0" w:line="240" w:lineRule="auto"/>
        <w:rPr>
          <w:rFonts w:ascii="Garamond" w:hAnsi="Garamond"/>
          <w:color w:val="1E1E1E"/>
          <w:sz w:val="30"/>
          <w:szCs w:val="30"/>
          <w:shd w:val="clear" w:color="auto" w:fill="FFFFFF"/>
          <w:lang w:val="en-GB"/>
        </w:rPr>
      </w:pPr>
    </w:p>
    <w:p w:rsidR="001C546A" w:rsidRDefault="001C546A" w:rsidP="00CD01EF">
      <w:pPr>
        <w:autoSpaceDE w:val="0"/>
        <w:autoSpaceDN w:val="0"/>
        <w:adjustRightInd w:val="0"/>
        <w:spacing w:after="0" w:line="240" w:lineRule="auto"/>
        <w:rPr>
          <w:rFonts w:ascii="Garamond" w:hAnsi="Garamond"/>
          <w:color w:val="1E1E1E"/>
          <w:sz w:val="30"/>
          <w:szCs w:val="30"/>
          <w:shd w:val="clear" w:color="auto" w:fill="FFFFFF"/>
          <w:lang w:val="en-GB"/>
        </w:rPr>
      </w:pPr>
    </w:p>
    <w:p w:rsidR="001C546A" w:rsidRDefault="001C546A" w:rsidP="00CD01EF">
      <w:pPr>
        <w:autoSpaceDE w:val="0"/>
        <w:autoSpaceDN w:val="0"/>
        <w:adjustRightInd w:val="0"/>
        <w:spacing w:after="0" w:line="240" w:lineRule="auto"/>
        <w:rPr>
          <w:rFonts w:ascii="Garamond" w:hAnsi="Garamond"/>
          <w:color w:val="1E1E1E"/>
          <w:sz w:val="30"/>
          <w:szCs w:val="30"/>
          <w:shd w:val="clear" w:color="auto" w:fill="FFFFFF"/>
          <w:lang w:val="en-GB"/>
        </w:rPr>
      </w:pPr>
    </w:p>
    <w:p w:rsidR="001C546A" w:rsidRDefault="001C546A" w:rsidP="00CD01EF">
      <w:pPr>
        <w:autoSpaceDE w:val="0"/>
        <w:autoSpaceDN w:val="0"/>
        <w:adjustRightInd w:val="0"/>
        <w:spacing w:after="0" w:line="240" w:lineRule="auto"/>
        <w:rPr>
          <w:rFonts w:ascii="Garamond" w:hAnsi="Garamond"/>
          <w:color w:val="1E1E1E"/>
          <w:sz w:val="30"/>
          <w:szCs w:val="30"/>
          <w:shd w:val="clear" w:color="auto" w:fill="FFFFFF"/>
          <w:lang w:val="en-GB"/>
        </w:rPr>
      </w:pPr>
    </w:p>
    <w:p w:rsidR="001C546A" w:rsidRDefault="001C546A" w:rsidP="00CD01EF">
      <w:pPr>
        <w:autoSpaceDE w:val="0"/>
        <w:autoSpaceDN w:val="0"/>
        <w:adjustRightInd w:val="0"/>
        <w:spacing w:after="0" w:line="240" w:lineRule="auto"/>
        <w:rPr>
          <w:rFonts w:ascii="Garamond" w:hAnsi="Garamond"/>
          <w:color w:val="1E1E1E"/>
          <w:sz w:val="30"/>
          <w:szCs w:val="30"/>
          <w:shd w:val="clear" w:color="auto" w:fill="FFFFFF"/>
          <w:lang w:val="en-GB"/>
        </w:rPr>
      </w:pPr>
    </w:p>
    <w:p w:rsidR="001C546A" w:rsidRDefault="001C546A" w:rsidP="00CD01EF">
      <w:pPr>
        <w:autoSpaceDE w:val="0"/>
        <w:autoSpaceDN w:val="0"/>
        <w:adjustRightInd w:val="0"/>
        <w:spacing w:after="0" w:line="240" w:lineRule="auto"/>
        <w:rPr>
          <w:rFonts w:ascii="Garamond" w:hAnsi="Garamond"/>
          <w:color w:val="1E1E1E"/>
          <w:sz w:val="30"/>
          <w:szCs w:val="30"/>
          <w:shd w:val="clear" w:color="auto" w:fill="FFFFFF"/>
          <w:lang w:val="en-GB"/>
        </w:rPr>
      </w:pPr>
    </w:p>
    <w:p w:rsidR="001C546A" w:rsidRDefault="001C546A" w:rsidP="00CD01EF">
      <w:pPr>
        <w:autoSpaceDE w:val="0"/>
        <w:autoSpaceDN w:val="0"/>
        <w:adjustRightInd w:val="0"/>
        <w:spacing w:after="0" w:line="240" w:lineRule="auto"/>
        <w:rPr>
          <w:rFonts w:ascii="Garamond" w:hAnsi="Garamond"/>
          <w:color w:val="1E1E1E"/>
          <w:sz w:val="30"/>
          <w:szCs w:val="30"/>
          <w:shd w:val="clear" w:color="auto" w:fill="FFFFFF"/>
          <w:lang w:val="en-GB"/>
        </w:rPr>
      </w:pPr>
    </w:p>
    <w:p w:rsidR="00550912" w:rsidRDefault="007B775A" w:rsidP="00724D82">
      <w:pPr>
        <w:autoSpaceDE w:val="0"/>
        <w:autoSpaceDN w:val="0"/>
        <w:adjustRightInd w:val="0"/>
        <w:spacing w:after="0" w:line="240" w:lineRule="auto"/>
        <w:jc w:val="both"/>
        <w:rPr>
          <w:rFonts w:ascii="Garamond" w:hAnsi="Garamond"/>
          <w:color w:val="1E1E1E"/>
          <w:sz w:val="30"/>
          <w:szCs w:val="30"/>
          <w:shd w:val="clear" w:color="auto" w:fill="FFFFFF"/>
          <w:lang w:val="en-GB"/>
        </w:rPr>
      </w:pPr>
      <w:r>
        <w:rPr>
          <w:rFonts w:ascii="Garamond" w:hAnsi="Garamond"/>
          <w:color w:val="1E1E1E"/>
          <w:sz w:val="30"/>
          <w:szCs w:val="30"/>
          <w:shd w:val="clear" w:color="auto" w:fill="FFFFFF"/>
          <w:lang w:val="en-GB"/>
        </w:rPr>
        <w:tab/>
      </w:r>
      <w:r w:rsidR="00550912" w:rsidRPr="00550912">
        <w:rPr>
          <w:rFonts w:ascii="Garamond" w:hAnsi="Garamond"/>
          <w:color w:val="1E1E1E"/>
          <w:sz w:val="30"/>
          <w:szCs w:val="30"/>
          <w:shd w:val="clear" w:color="auto" w:fill="FFFFFF"/>
          <w:lang w:val="en-GB"/>
        </w:rPr>
        <w:t>The trend towards heavily relying on imported fossil fuels for energy generation across South Asian countries, apart from Bangladesh, underscores a significant economic and environmental challenge. This reliance is particularly pronounced in Pakistan, where 65% of energy production is based on fossil fuels. The potential of REI in this context is enormous, offering a structure to significantly reduce the financial drain associated with such imports, evidenced by the substantial proportion of merchandise imports dedicated to fuel, as depicted in Graph 3</w:t>
      </w:r>
      <w:r w:rsidR="00550912">
        <w:rPr>
          <w:rFonts w:ascii="Garamond" w:hAnsi="Garamond"/>
          <w:color w:val="1E1E1E"/>
          <w:sz w:val="30"/>
          <w:szCs w:val="30"/>
          <w:shd w:val="clear" w:color="auto" w:fill="FFFFFF"/>
          <w:lang w:val="en-GB"/>
        </w:rPr>
        <w:t>.</w:t>
      </w:r>
    </w:p>
    <w:p w:rsidR="006B6EDA" w:rsidRDefault="006B6EDA" w:rsidP="006B6EDA">
      <w:pPr>
        <w:autoSpaceDE w:val="0"/>
        <w:autoSpaceDN w:val="0"/>
        <w:adjustRightInd w:val="0"/>
        <w:spacing w:after="0" w:line="240" w:lineRule="auto"/>
        <w:jc w:val="center"/>
        <w:rPr>
          <w:rFonts w:ascii="Garamond" w:hAnsi="Garamond"/>
          <w:b/>
          <w:color w:val="1E1E1E"/>
          <w:sz w:val="30"/>
          <w:szCs w:val="30"/>
          <w:shd w:val="clear" w:color="auto" w:fill="FFFFFF"/>
          <w:lang w:val="en-GB"/>
        </w:rPr>
      </w:pPr>
      <w:r w:rsidRPr="006B6EDA">
        <w:rPr>
          <w:rFonts w:ascii="Garamond" w:hAnsi="Garamond"/>
          <w:b/>
          <w:color w:val="1E1E1E"/>
          <w:sz w:val="30"/>
          <w:szCs w:val="30"/>
          <w:shd w:val="clear" w:color="auto" w:fill="FFFFFF"/>
          <w:lang w:val="en-GB"/>
        </w:rPr>
        <w:lastRenderedPageBreak/>
        <w:t>Graph-3: Fuel Imports as % of MerchandiseImports</w:t>
      </w:r>
    </w:p>
    <w:p w:rsidR="00514A13" w:rsidRDefault="00514A13" w:rsidP="006B6EDA">
      <w:pPr>
        <w:autoSpaceDE w:val="0"/>
        <w:autoSpaceDN w:val="0"/>
        <w:adjustRightInd w:val="0"/>
        <w:spacing w:after="0" w:line="240" w:lineRule="auto"/>
        <w:jc w:val="center"/>
        <w:rPr>
          <w:rFonts w:ascii="Garamond" w:hAnsi="Garamond"/>
          <w:b/>
          <w:color w:val="1E1E1E"/>
          <w:sz w:val="30"/>
          <w:szCs w:val="30"/>
          <w:shd w:val="clear" w:color="auto" w:fill="FFFFFF"/>
          <w:lang w:val="en-GB"/>
        </w:rPr>
      </w:pPr>
    </w:p>
    <w:p w:rsidR="00514A13" w:rsidRDefault="00270AEF" w:rsidP="006B6EDA">
      <w:pPr>
        <w:autoSpaceDE w:val="0"/>
        <w:autoSpaceDN w:val="0"/>
        <w:adjustRightInd w:val="0"/>
        <w:spacing w:after="0" w:line="240" w:lineRule="auto"/>
        <w:jc w:val="center"/>
        <w:rPr>
          <w:rFonts w:ascii="Garamond" w:hAnsi="Garamond"/>
          <w:b/>
          <w:color w:val="1E1E1E"/>
          <w:sz w:val="30"/>
          <w:szCs w:val="30"/>
          <w:shd w:val="clear" w:color="auto" w:fill="FFFFFF"/>
          <w:lang w:val="en-GB"/>
        </w:rPr>
      </w:pPr>
      <w:r w:rsidRPr="007D6572">
        <w:rPr>
          <w:rFonts w:ascii="Arial" w:hAnsi="Arial" w:cs="Arial"/>
          <w:bCs/>
          <w:noProof/>
          <w:u w:val="single"/>
        </w:rPr>
        <w:drawing>
          <wp:anchor distT="0" distB="0" distL="114300" distR="114300" simplePos="0" relativeHeight="251663360" behindDoc="1" locked="0" layoutInCell="1" allowOverlap="1">
            <wp:simplePos x="0" y="0"/>
            <wp:positionH relativeFrom="column">
              <wp:posOffset>723900</wp:posOffset>
            </wp:positionH>
            <wp:positionV relativeFrom="paragraph">
              <wp:posOffset>161925</wp:posOffset>
            </wp:positionV>
            <wp:extent cx="4371340" cy="2190750"/>
            <wp:effectExtent l="0" t="0" r="10160" b="19050"/>
            <wp:wrapTight wrapText="bothSides">
              <wp:wrapPolygon edited="0">
                <wp:start x="0" y="0"/>
                <wp:lineTo x="0" y="21600"/>
                <wp:lineTo x="21556" y="21600"/>
                <wp:lineTo x="21556" y="0"/>
                <wp:lineTo x="0" y="0"/>
              </wp:wrapPolygon>
            </wp:wrapTight>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514A13" w:rsidRDefault="00514A13" w:rsidP="006B6EDA">
      <w:pPr>
        <w:autoSpaceDE w:val="0"/>
        <w:autoSpaceDN w:val="0"/>
        <w:adjustRightInd w:val="0"/>
        <w:spacing w:after="0" w:line="240" w:lineRule="auto"/>
        <w:jc w:val="center"/>
        <w:rPr>
          <w:rFonts w:ascii="Garamond" w:hAnsi="Garamond"/>
          <w:b/>
          <w:color w:val="1E1E1E"/>
          <w:sz w:val="30"/>
          <w:szCs w:val="30"/>
          <w:shd w:val="clear" w:color="auto" w:fill="FFFFFF"/>
          <w:lang w:val="en-GB"/>
        </w:rPr>
      </w:pPr>
    </w:p>
    <w:p w:rsidR="00514A13" w:rsidRDefault="00514A13" w:rsidP="006B6EDA">
      <w:pPr>
        <w:autoSpaceDE w:val="0"/>
        <w:autoSpaceDN w:val="0"/>
        <w:adjustRightInd w:val="0"/>
        <w:spacing w:after="0" w:line="240" w:lineRule="auto"/>
        <w:jc w:val="center"/>
        <w:rPr>
          <w:rFonts w:ascii="Garamond" w:hAnsi="Garamond"/>
          <w:b/>
          <w:color w:val="1E1E1E"/>
          <w:sz w:val="30"/>
          <w:szCs w:val="30"/>
          <w:shd w:val="clear" w:color="auto" w:fill="FFFFFF"/>
          <w:lang w:val="en-GB"/>
        </w:rPr>
      </w:pPr>
    </w:p>
    <w:p w:rsidR="00514A13" w:rsidRDefault="00514A13" w:rsidP="006B6EDA">
      <w:pPr>
        <w:autoSpaceDE w:val="0"/>
        <w:autoSpaceDN w:val="0"/>
        <w:adjustRightInd w:val="0"/>
        <w:spacing w:after="0" w:line="240" w:lineRule="auto"/>
        <w:jc w:val="center"/>
        <w:rPr>
          <w:rFonts w:ascii="Garamond" w:hAnsi="Garamond"/>
          <w:b/>
          <w:color w:val="1E1E1E"/>
          <w:sz w:val="30"/>
          <w:szCs w:val="30"/>
          <w:shd w:val="clear" w:color="auto" w:fill="FFFFFF"/>
          <w:lang w:val="en-GB"/>
        </w:rPr>
      </w:pPr>
    </w:p>
    <w:p w:rsidR="00514A13" w:rsidRDefault="00514A13" w:rsidP="006B6EDA">
      <w:pPr>
        <w:autoSpaceDE w:val="0"/>
        <w:autoSpaceDN w:val="0"/>
        <w:adjustRightInd w:val="0"/>
        <w:spacing w:after="0" w:line="240" w:lineRule="auto"/>
        <w:jc w:val="center"/>
        <w:rPr>
          <w:rFonts w:ascii="Garamond" w:hAnsi="Garamond"/>
          <w:b/>
          <w:color w:val="1E1E1E"/>
          <w:sz w:val="30"/>
          <w:szCs w:val="30"/>
          <w:shd w:val="clear" w:color="auto" w:fill="FFFFFF"/>
          <w:lang w:val="en-GB"/>
        </w:rPr>
      </w:pPr>
    </w:p>
    <w:p w:rsidR="00514A13" w:rsidRDefault="00514A13" w:rsidP="006B6EDA">
      <w:pPr>
        <w:autoSpaceDE w:val="0"/>
        <w:autoSpaceDN w:val="0"/>
        <w:adjustRightInd w:val="0"/>
        <w:spacing w:after="0" w:line="240" w:lineRule="auto"/>
        <w:jc w:val="center"/>
        <w:rPr>
          <w:rFonts w:ascii="Garamond" w:hAnsi="Garamond"/>
          <w:b/>
          <w:color w:val="1E1E1E"/>
          <w:sz w:val="30"/>
          <w:szCs w:val="30"/>
          <w:shd w:val="clear" w:color="auto" w:fill="FFFFFF"/>
          <w:lang w:val="en-GB"/>
        </w:rPr>
      </w:pPr>
    </w:p>
    <w:p w:rsidR="00514A13" w:rsidRDefault="00514A13" w:rsidP="006B6EDA">
      <w:pPr>
        <w:autoSpaceDE w:val="0"/>
        <w:autoSpaceDN w:val="0"/>
        <w:adjustRightInd w:val="0"/>
        <w:spacing w:after="0" w:line="240" w:lineRule="auto"/>
        <w:jc w:val="center"/>
        <w:rPr>
          <w:rFonts w:ascii="Garamond" w:hAnsi="Garamond"/>
          <w:b/>
          <w:color w:val="1E1E1E"/>
          <w:sz w:val="30"/>
          <w:szCs w:val="30"/>
          <w:shd w:val="clear" w:color="auto" w:fill="FFFFFF"/>
          <w:lang w:val="en-GB"/>
        </w:rPr>
      </w:pPr>
    </w:p>
    <w:p w:rsidR="00514A13" w:rsidRDefault="00514A13" w:rsidP="006B6EDA">
      <w:pPr>
        <w:autoSpaceDE w:val="0"/>
        <w:autoSpaceDN w:val="0"/>
        <w:adjustRightInd w:val="0"/>
        <w:spacing w:after="0" w:line="240" w:lineRule="auto"/>
        <w:jc w:val="center"/>
        <w:rPr>
          <w:rFonts w:ascii="Garamond" w:hAnsi="Garamond"/>
          <w:b/>
          <w:color w:val="1E1E1E"/>
          <w:sz w:val="30"/>
          <w:szCs w:val="30"/>
          <w:shd w:val="clear" w:color="auto" w:fill="FFFFFF"/>
          <w:lang w:val="en-GB"/>
        </w:rPr>
      </w:pPr>
    </w:p>
    <w:p w:rsidR="00514A13" w:rsidRPr="006B6EDA" w:rsidRDefault="00514A13" w:rsidP="006B6EDA">
      <w:pPr>
        <w:autoSpaceDE w:val="0"/>
        <w:autoSpaceDN w:val="0"/>
        <w:adjustRightInd w:val="0"/>
        <w:spacing w:after="0" w:line="240" w:lineRule="auto"/>
        <w:jc w:val="center"/>
        <w:rPr>
          <w:rFonts w:ascii="Garamond" w:hAnsi="Garamond"/>
          <w:b/>
          <w:color w:val="1E1E1E"/>
          <w:sz w:val="30"/>
          <w:szCs w:val="30"/>
          <w:shd w:val="clear" w:color="auto" w:fill="FFFFFF"/>
          <w:lang w:val="en-GB"/>
        </w:rPr>
      </w:pPr>
    </w:p>
    <w:p w:rsidR="006B6EDA" w:rsidRDefault="006B6EDA" w:rsidP="001D043F">
      <w:pPr>
        <w:autoSpaceDE w:val="0"/>
        <w:autoSpaceDN w:val="0"/>
        <w:adjustRightInd w:val="0"/>
        <w:spacing w:after="0" w:line="240" w:lineRule="auto"/>
        <w:rPr>
          <w:rFonts w:ascii="Garamond" w:hAnsi="Garamond"/>
          <w:color w:val="1E1E1E"/>
          <w:sz w:val="30"/>
          <w:szCs w:val="30"/>
          <w:shd w:val="clear" w:color="auto" w:fill="FFFFFF"/>
          <w:lang w:val="en-GB"/>
        </w:rPr>
      </w:pPr>
    </w:p>
    <w:p w:rsidR="006B6EDA" w:rsidRDefault="006B6EDA" w:rsidP="001D043F">
      <w:pPr>
        <w:autoSpaceDE w:val="0"/>
        <w:autoSpaceDN w:val="0"/>
        <w:adjustRightInd w:val="0"/>
        <w:spacing w:after="0" w:line="240" w:lineRule="auto"/>
        <w:rPr>
          <w:rFonts w:ascii="Garamond" w:hAnsi="Garamond"/>
          <w:color w:val="1E1E1E"/>
          <w:sz w:val="30"/>
          <w:szCs w:val="30"/>
          <w:shd w:val="clear" w:color="auto" w:fill="FFFFFF"/>
          <w:lang w:val="en-GB"/>
        </w:rPr>
      </w:pPr>
    </w:p>
    <w:p w:rsidR="00514A13" w:rsidRDefault="00514A13" w:rsidP="00CD01EF">
      <w:pPr>
        <w:autoSpaceDE w:val="0"/>
        <w:autoSpaceDN w:val="0"/>
        <w:adjustRightInd w:val="0"/>
        <w:spacing w:after="0" w:line="240" w:lineRule="auto"/>
        <w:rPr>
          <w:rFonts w:ascii="Garamond" w:hAnsi="Garamond"/>
          <w:color w:val="1E1E1E"/>
          <w:sz w:val="30"/>
          <w:szCs w:val="30"/>
          <w:shd w:val="clear" w:color="auto" w:fill="FFFFFF"/>
          <w:lang w:val="en-GB"/>
        </w:rPr>
      </w:pPr>
    </w:p>
    <w:p w:rsidR="0086630E" w:rsidRDefault="007B775A" w:rsidP="0086630E">
      <w:pPr>
        <w:autoSpaceDE w:val="0"/>
        <w:autoSpaceDN w:val="0"/>
        <w:adjustRightInd w:val="0"/>
        <w:spacing w:after="0" w:line="240" w:lineRule="auto"/>
        <w:jc w:val="both"/>
        <w:rPr>
          <w:rFonts w:ascii="Garamond" w:hAnsi="Garamond"/>
          <w:color w:val="1E1E1E"/>
          <w:sz w:val="30"/>
          <w:szCs w:val="30"/>
          <w:shd w:val="clear" w:color="auto" w:fill="FFFFFF"/>
        </w:rPr>
      </w:pPr>
      <w:r>
        <w:rPr>
          <w:rFonts w:ascii="Garamond" w:hAnsi="Garamond"/>
          <w:color w:val="1E1E1E"/>
          <w:sz w:val="30"/>
          <w:szCs w:val="30"/>
          <w:shd w:val="clear" w:color="auto" w:fill="FFFFFF"/>
        </w:rPr>
        <w:tab/>
      </w:r>
      <w:r w:rsidR="0086630E" w:rsidRPr="0086630E">
        <w:rPr>
          <w:rFonts w:ascii="Garamond" w:hAnsi="Garamond"/>
          <w:color w:val="1E1E1E"/>
          <w:sz w:val="30"/>
          <w:szCs w:val="30"/>
          <w:shd w:val="clear" w:color="auto" w:fill="FFFFFF"/>
        </w:rPr>
        <w:t xml:space="preserve">SA is the region most affected by climate change, with five countries ranking among the top 25 out of 180 in the risk index. This reflects a dire need to shift to greener energy solutions. Pakistan is 8th on the list. </w:t>
      </w:r>
    </w:p>
    <w:p w:rsidR="007B775A" w:rsidRPr="0086630E" w:rsidRDefault="007B775A" w:rsidP="0086630E">
      <w:pPr>
        <w:autoSpaceDE w:val="0"/>
        <w:autoSpaceDN w:val="0"/>
        <w:adjustRightInd w:val="0"/>
        <w:spacing w:after="0" w:line="240" w:lineRule="auto"/>
        <w:jc w:val="both"/>
        <w:rPr>
          <w:rFonts w:ascii="Garamond" w:hAnsi="Garamond"/>
          <w:color w:val="1E1E1E"/>
          <w:sz w:val="30"/>
          <w:szCs w:val="30"/>
          <w:shd w:val="clear" w:color="auto" w:fill="FFFFFF"/>
        </w:rPr>
      </w:pPr>
    </w:p>
    <w:p w:rsidR="004C4478" w:rsidRDefault="0086630E" w:rsidP="0086630E">
      <w:pPr>
        <w:autoSpaceDE w:val="0"/>
        <w:autoSpaceDN w:val="0"/>
        <w:adjustRightInd w:val="0"/>
        <w:spacing w:after="0" w:line="240" w:lineRule="auto"/>
        <w:jc w:val="both"/>
        <w:rPr>
          <w:rFonts w:ascii="Garamond" w:hAnsi="Garamond"/>
          <w:color w:val="1E1E1E"/>
          <w:sz w:val="30"/>
          <w:szCs w:val="30"/>
          <w:shd w:val="clear" w:color="auto" w:fill="FFFFFF"/>
          <w:lang w:val="en-GB"/>
        </w:rPr>
      </w:pPr>
      <w:r w:rsidRPr="0086630E">
        <w:rPr>
          <w:rFonts w:ascii="Garamond" w:hAnsi="Garamond"/>
          <w:color w:val="1E1E1E"/>
          <w:sz w:val="30"/>
          <w:szCs w:val="30"/>
          <w:shd w:val="clear" w:color="auto" w:fill="FFFFFF"/>
        </w:rPr>
        <w:tab/>
        <w:t>In line with the United Nations (UN) Sustainable Development Goal-7 (SDG-7) of affordable and clean energy, all SA countries have great potential for REI. Despite having one of the world's highest insolation / solar irradiance, Pakistan has produced only 568 MW in 13 years (2010-23).</w:t>
      </w:r>
    </w:p>
    <w:p w:rsidR="00DA0202" w:rsidRDefault="00DA0202" w:rsidP="007B775A">
      <w:pPr>
        <w:autoSpaceDE w:val="0"/>
        <w:autoSpaceDN w:val="0"/>
        <w:adjustRightInd w:val="0"/>
        <w:spacing w:after="0" w:line="240" w:lineRule="auto"/>
        <w:jc w:val="center"/>
        <w:rPr>
          <w:rFonts w:ascii="Garamond" w:hAnsi="Garamond"/>
          <w:b/>
          <w:color w:val="1E1E1E"/>
          <w:sz w:val="30"/>
          <w:szCs w:val="30"/>
          <w:shd w:val="clear" w:color="auto" w:fill="FFFFFF"/>
        </w:rPr>
      </w:pPr>
    </w:p>
    <w:p w:rsidR="00DA0202" w:rsidRDefault="00DA0202" w:rsidP="00DA0202">
      <w:pPr>
        <w:autoSpaceDE w:val="0"/>
        <w:autoSpaceDN w:val="0"/>
        <w:adjustRightInd w:val="0"/>
        <w:spacing w:after="0" w:line="240" w:lineRule="auto"/>
        <w:jc w:val="center"/>
        <w:rPr>
          <w:rFonts w:ascii="Garamond" w:hAnsi="Garamond"/>
          <w:b/>
          <w:color w:val="1E1E1E"/>
          <w:sz w:val="30"/>
          <w:szCs w:val="30"/>
          <w:shd w:val="clear" w:color="auto" w:fill="FFFFFF"/>
        </w:rPr>
      </w:pPr>
      <w:r w:rsidRPr="00DA0202">
        <w:rPr>
          <w:rFonts w:ascii="Garamond" w:hAnsi="Garamond"/>
          <w:b/>
          <w:color w:val="1E1E1E"/>
          <w:sz w:val="30"/>
          <w:szCs w:val="30"/>
          <w:shd w:val="clear" w:color="auto" w:fill="FFFFFF"/>
        </w:rPr>
        <w:t>Table 1: Electricity Generation Capacity of SA Countries</w:t>
      </w:r>
    </w:p>
    <w:tbl>
      <w:tblPr>
        <w:tblStyle w:val="TableGrid"/>
        <w:tblpPr w:leftFromText="180" w:rightFromText="180" w:vertAnchor="text" w:horzAnchor="page" w:tblpXSpec="center" w:tblpY="12"/>
        <w:tblW w:w="0" w:type="auto"/>
        <w:tblLayout w:type="fixed"/>
        <w:tblLook w:val="04A0"/>
      </w:tblPr>
      <w:tblGrid>
        <w:gridCol w:w="1368"/>
        <w:gridCol w:w="990"/>
        <w:gridCol w:w="1394"/>
        <w:gridCol w:w="1486"/>
      </w:tblGrid>
      <w:tr w:rsidR="00C1716B" w:rsidRPr="00187030" w:rsidTr="00C1716B">
        <w:trPr>
          <w:trHeight w:hRule="exact" w:val="278"/>
        </w:trPr>
        <w:tc>
          <w:tcPr>
            <w:tcW w:w="5238" w:type="dxa"/>
            <w:gridSpan w:val="4"/>
            <w:shd w:val="clear" w:color="auto" w:fill="auto"/>
          </w:tcPr>
          <w:p w:rsidR="00C1716B" w:rsidRPr="00187030" w:rsidRDefault="00C1716B" w:rsidP="0062774E">
            <w:pPr>
              <w:jc w:val="center"/>
              <w:rPr>
                <w:rFonts w:ascii="Constantia" w:hAnsi="Constantia" w:cs="Arial"/>
                <w:b/>
              </w:rPr>
            </w:pPr>
            <w:r w:rsidRPr="00187030">
              <w:rPr>
                <w:rFonts w:ascii="Constantia" w:hAnsi="Constantia" w:cs="Arial"/>
                <w:b/>
              </w:rPr>
              <w:t>Generation Capacity</w:t>
            </w:r>
          </w:p>
        </w:tc>
      </w:tr>
      <w:tr w:rsidR="00C1716B" w:rsidRPr="00187030" w:rsidTr="00C1716B">
        <w:trPr>
          <w:trHeight w:hRule="exact" w:val="539"/>
        </w:trPr>
        <w:tc>
          <w:tcPr>
            <w:tcW w:w="1368" w:type="dxa"/>
          </w:tcPr>
          <w:p w:rsidR="00C1716B" w:rsidRPr="00187030" w:rsidRDefault="00C1716B" w:rsidP="0062774E">
            <w:pPr>
              <w:jc w:val="both"/>
              <w:rPr>
                <w:rFonts w:ascii="Constantia" w:hAnsi="Constantia" w:cs="Arial"/>
              </w:rPr>
            </w:pPr>
            <w:r w:rsidRPr="00187030">
              <w:rPr>
                <w:rFonts w:ascii="Constantia" w:hAnsi="Constantia" w:cs="Arial"/>
              </w:rPr>
              <w:t>Country</w:t>
            </w:r>
          </w:p>
        </w:tc>
        <w:tc>
          <w:tcPr>
            <w:tcW w:w="990" w:type="dxa"/>
          </w:tcPr>
          <w:p w:rsidR="00C1716B" w:rsidRPr="00187030" w:rsidRDefault="00C1716B" w:rsidP="0062774E">
            <w:pPr>
              <w:jc w:val="center"/>
              <w:rPr>
                <w:rFonts w:ascii="Constantia" w:hAnsi="Constantia" w:cs="Arial"/>
              </w:rPr>
            </w:pPr>
            <w:r w:rsidRPr="00187030">
              <w:rPr>
                <w:rFonts w:ascii="Constantia" w:hAnsi="Constantia" w:cs="Arial"/>
              </w:rPr>
              <w:t>Wind (MW)</w:t>
            </w:r>
          </w:p>
        </w:tc>
        <w:tc>
          <w:tcPr>
            <w:tcW w:w="1394" w:type="dxa"/>
          </w:tcPr>
          <w:p w:rsidR="00C1716B" w:rsidRPr="00187030" w:rsidRDefault="00C1716B" w:rsidP="0062774E">
            <w:pPr>
              <w:jc w:val="center"/>
              <w:rPr>
                <w:rFonts w:ascii="Constantia" w:hAnsi="Constantia" w:cs="Arial"/>
              </w:rPr>
            </w:pPr>
            <w:r w:rsidRPr="00187030">
              <w:rPr>
                <w:rFonts w:ascii="Constantia" w:hAnsi="Constantia" w:cs="Arial"/>
              </w:rPr>
              <w:t>Utility-scale solar (MW)</w:t>
            </w:r>
          </w:p>
        </w:tc>
        <w:tc>
          <w:tcPr>
            <w:tcW w:w="1486" w:type="dxa"/>
          </w:tcPr>
          <w:p w:rsidR="00C1716B" w:rsidRPr="00187030" w:rsidRDefault="00C1716B" w:rsidP="0062774E">
            <w:pPr>
              <w:jc w:val="center"/>
              <w:rPr>
                <w:rFonts w:ascii="Constantia" w:hAnsi="Constantia" w:cs="Arial"/>
              </w:rPr>
            </w:pPr>
            <w:r w:rsidRPr="00187030">
              <w:rPr>
                <w:rFonts w:ascii="Constantia" w:hAnsi="Constantia" w:cs="Arial"/>
              </w:rPr>
              <w:t>Hydropower (MW)</w:t>
            </w:r>
          </w:p>
        </w:tc>
      </w:tr>
      <w:tr w:rsidR="00C1716B" w:rsidRPr="00187030" w:rsidTr="00C1716B">
        <w:trPr>
          <w:trHeight w:hRule="exact" w:val="269"/>
        </w:trPr>
        <w:tc>
          <w:tcPr>
            <w:tcW w:w="1368" w:type="dxa"/>
            <w:shd w:val="clear" w:color="auto" w:fill="92D050"/>
          </w:tcPr>
          <w:p w:rsidR="00C1716B" w:rsidRPr="00187030" w:rsidRDefault="00C1716B" w:rsidP="0062774E">
            <w:pPr>
              <w:jc w:val="both"/>
              <w:rPr>
                <w:rFonts w:ascii="Constantia" w:hAnsi="Constantia" w:cs="Arial"/>
              </w:rPr>
            </w:pPr>
            <w:r w:rsidRPr="00187030">
              <w:rPr>
                <w:rFonts w:ascii="Constantia" w:hAnsi="Constantia" w:cs="Arial"/>
              </w:rPr>
              <w:t>Afghanistan</w:t>
            </w:r>
          </w:p>
        </w:tc>
        <w:tc>
          <w:tcPr>
            <w:tcW w:w="990" w:type="dxa"/>
            <w:shd w:val="clear" w:color="auto" w:fill="92D050"/>
          </w:tcPr>
          <w:p w:rsidR="00C1716B" w:rsidRPr="00187030" w:rsidRDefault="00C1716B" w:rsidP="0062774E">
            <w:pPr>
              <w:jc w:val="center"/>
              <w:rPr>
                <w:rFonts w:ascii="Constantia" w:hAnsi="Constantia" w:cs="Arial"/>
              </w:rPr>
            </w:pPr>
            <w:r w:rsidRPr="00187030">
              <w:rPr>
                <w:rFonts w:ascii="Constantia" w:hAnsi="Constantia" w:cs="Arial"/>
              </w:rPr>
              <w:t>67000</w:t>
            </w:r>
          </w:p>
        </w:tc>
        <w:tc>
          <w:tcPr>
            <w:tcW w:w="1394" w:type="dxa"/>
            <w:shd w:val="clear" w:color="auto" w:fill="92D050"/>
          </w:tcPr>
          <w:p w:rsidR="00C1716B" w:rsidRPr="00187030" w:rsidRDefault="00C1716B" w:rsidP="0062774E">
            <w:pPr>
              <w:jc w:val="center"/>
              <w:rPr>
                <w:rFonts w:ascii="Constantia" w:hAnsi="Constantia" w:cs="Arial"/>
              </w:rPr>
            </w:pPr>
            <w:r w:rsidRPr="00187030">
              <w:rPr>
                <w:rFonts w:ascii="Constantia" w:hAnsi="Constantia" w:cs="Arial"/>
              </w:rPr>
              <w:t>220000</w:t>
            </w:r>
          </w:p>
        </w:tc>
        <w:tc>
          <w:tcPr>
            <w:tcW w:w="1486" w:type="dxa"/>
            <w:shd w:val="clear" w:color="auto" w:fill="92D050"/>
          </w:tcPr>
          <w:p w:rsidR="00C1716B" w:rsidRPr="00187030" w:rsidRDefault="00C1716B" w:rsidP="0062774E">
            <w:pPr>
              <w:jc w:val="center"/>
              <w:rPr>
                <w:rFonts w:ascii="Constantia" w:hAnsi="Constantia" w:cs="Arial"/>
              </w:rPr>
            </w:pPr>
            <w:r w:rsidRPr="00187030">
              <w:rPr>
                <w:rFonts w:ascii="Constantia" w:hAnsi="Constantia" w:cs="Arial"/>
              </w:rPr>
              <w:t>23000</w:t>
            </w:r>
          </w:p>
        </w:tc>
      </w:tr>
      <w:tr w:rsidR="00C1716B" w:rsidRPr="00187030" w:rsidTr="00C1716B">
        <w:trPr>
          <w:trHeight w:hRule="exact" w:val="269"/>
        </w:trPr>
        <w:tc>
          <w:tcPr>
            <w:tcW w:w="1368" w:type="dxa"/>
            <w:shd w:val="clear" w:color="auto" w:fill="C5E0B3" w:themeFill="accent6" w:themeFillTint="66"/>
          </w:tcPr>
          <w:p w:rsidR="00C1716B" w:rsidRPr="00187030" w:rsidRDefault="00C1716B" w:rsidP="0062774E">
            <w:pPr>
              <w:jc w:val="both"/>
              <w:rPr>
                <w:rFonts w:ascii="Constantia" w:hAnsi="Constantia" w:cs="Arial"/>
              </w:rPr>
            </w:pPr>
            <w:r w:rsidRPr="00187030">
              <w:rPr>
                <w:rFonts w:ascii="Constantia" w:hAnsi="Constantia" w:cs="Arial"/>
              </w:rPr>
              <w:t>Bangladesh</w:t>
            </w:r>
          </w:p>
        </w:tc>
        <w:tc>
          <w:tcPr>
            <w:tcW w:w="990" w:type="dxa"/>
            <w:shd w:val="clear" w:color="auto" w:fill="C5E0B3" w:themeFill="accent6" w:themeFillTint="66"/>
          </w:tcPr>
          <w:p w:rsidR="00C1716B" w:rsidRPr="00187030" w:rsidRDefault="00C1716B" w:rsidP="0062774E">
            <w:pPr>
              <w:jc w:val="center"/>
              <w:rPr>
                <w:rFonts w:ascii="Constantia" w:hAnsi="Constantia" w:cs="Arial"/>
              </w:rPr>
            </w:pPr>
            <w:r w:rsidRPr="00187030">
              <w:rPr>
                <w:rFonts w:ascii="Constantia" w:hAnsi="Constantia" w:cs="Arial"/>
              </w:rPr>
              <w:t>-</w:t>
            </w:r>
          </w:p>
        </w:tc>
        <w:tc>
          <w:tcPr>
            <w:tcW w:w="1394" w:type="dxa"/>
            <w:shd w:val="clear" w:color="auto" w:fill="C5E0B3" w:themeFill="accent6" w:themeFillTint="66"/>
          </w:tcPr>
          <w:p w:rsidR="00C1716B" w:rsidRPr="00187030" w:rsidRDefault="00C1716B" w:rsidP="0062774E">
            <w:pPr>
              <w:jc w:val="center"/>
              <w:rPr>
                <w:rFonts w:ascii="Constantia" w:hAnsi="Constantia" w:cs="Arial"/>
              </w:rPr>
            </w:pPr>
            <w:r w:rsidRPr="00187030">
              <w:rPr>
                <w:rFonts w:ascii="Constantia" w:hAnsi="Constantia" w:cs="Arial"/>
              </w:rPr>
              <w:t>-</w:t>
            </w:r>
          </w:p>
        </w:tc>
        <w:tc>
          <w:tcPr>
            <w:tcW w:w="1486" w:type="dxa"/>
            <w:shd w:val="clear" w:color="auto" w:fill="C5E0B3" w:themeFill="accent6" w:themeFillTint="66"/>
          </w:tcPr>
          <w:p w:rsidR="00C1716B" w:rsidRPr="00187030" w:rsidRDefault="00C1716B" w:rsidP="0062774E">
            <w:pPr>
              <w:jc w:val="center"/>
              <w:rPr>
                <w:rFonts w:ascii="Constantia" w:hAnsi="Constantia" w:cs="Arial"/>
              </w:rPr>
            </w:pPr>
            <w:r w:rsidRPr="00187030">
              <w:rPr>
                <w:rFonts w:ascii="Constantia" w:hAnsi="Constantia" w:cs="Arial"/>
              </w:rPr>
              <w:t>4000</w:t>
            </w:r>
          </w:p>
        </w:tc>
      </w:tr>
      <w:tr w:rsidR="00C1716B" w:rsidRPr="00187030" w:rsidTr="00C1716B">
        <w:trPr>
          <w:trHeight w:hRule="exact" w:val="359"/>
        </w:trPr>
        <w:tc>
          <w:tcPr>
            <w:tcW w:w="1368" w:type="dxa"/>
            <w:shd w:val="clear" w:color="auto" w:fill="92D050"/>
          </w:tcPr>
          <w:p w:rsidR="00C1716B" w:rsidRPr="00187030" w:rsidRDefault="00C1716B" w:rsidP="0062774E">
            <w:pPr>
              <w:jc w:val="both"/>
              <w:rPr>
                <w:rFonts w:ascii="Constantia" w:hAnsi="Constantia" w:cs="Arial"/>
              </w:rPr>
            </w:pPr>
            <w:r w:rsidRPr="00187030">
              <w:rPr>
                <w:rFonts w:ascii="Constantia" w:hAnsi="Constantia" w:cs="Arial"/>
              </w:rPr>
              <w:t>Bhutan</w:t>
            </w:r>
          </w:p>
        </w:tc>
        <w:tc>
          <w:tcPr>
            <w:tcW w:w="990" w:type="dxa"/>
            <w:shd w:val="clear" w:color="auto" w:fill="92D050"/>
          </w:tcPr>
          <w:p w:rsidR="00C1716B" w:rsidRPr="00187030" w:rsidRDefault="00C1716B" w:rsidP="0062774E">
            <w:pPr>
              <w:jc w:val="center"/>
              <w:rPr>
                <w:rFonts w:ascii="Constantia" w:hAnsi="Constantia" w:cs="Arial"/>
              </w:rPr>
            </w:pPr>
            <w:r w:rsidRPr="00187030">
              <w:rPr>
                <w:rFonts w:ascii="Constantia" w:hAnsi="Constantia" w:cs="Arial"/>
              </w:rPr>
              <w:t>4825</w:t>
            </w:r>
          </w:p>
        </w:tc>
        <w:tc>
          <w:tcPr>
            <w:tcW w:w="1394" w:type="dxa"/>
            <w:shd w:val="clear" w:color="auto" w:fill="92D050"/>
          </w:tcPr>
          <w:p w:rsidR="00C1716B" w:rsidRPr="00187030" w:rsidRDefault="00C1716B" w:rsidP="0062774E">
            <w:pPr>
              <w:jc w:val="center"/>
              <w:rPr>
                <w:rFonts w:ascii="Constantia" w:hAnsi="Constantia" w:cs="Arial"/>
              </w:rPr>
            </w:pPr>
            <w:r w:rsidRPr="00187030">
              <w:rPr>
                <w:rFonts w:ascii="Constantia" w:hAnsi="Constantia" w:cs="Arial"/>
              </w:rPr>
              <w:t>-</w:t>
            </w:r>
          </w:p>
        </w:tc>
        <w:tc>
          <w:tcPr>
            <w:tcW w:w="1486" w:type="dxa"/>
            <w:shd w:val="clear" w:color="auto" w:fill="92D050"/>
          </w:tcPr>
          <w:p w:rsidR="00C1716B" w:rsidRPr="00187030" w:rsidRDefault="00C1716B" w:rsidP="0062774E">
            <w:pPr>
              <w:jc w:val="center"/>
              <w:rPr>
                <w:rFonts w:ascii="Constantia" w:hAnsi="Constantia" w:cs="Arial"/>
              </w:rPr>
            </w:pPr>
            <w:r w:rsidRPr="00187030">
              <w:rPr>
                <w:rFonts w:ascii="Constantia" w:hAnsi="Constantia" w:cs="Arial"/>
              </w:rPr>
              <w:t>263000</w:t>
            </w:r>
          </w:p>
        </w:tc>
      </w:tr>
      <w:tr w:rsidR="00C1716B" w:rsidRPr="00187030" w:rsidTr="00C1716B">
        <w:trPr>
          <w:trHeight w:hRule="exact" w:val="269"/>
        </w:trPr>
        <w:tc>
          <w:tcPr>
            <w:tcW w:w="1368" w:type="dxa"/>
            <w:shd w:val="clear" w:color="auto" w:fill="C5E0B3" w:themeFill="accent6" w:themeFillTint="66"/>
          </w:tcPr>
          <w:p w:rsidR="00C1716B" w:rsidRPr="00187030" w:rsidRDefault="00C1716B" w:rsidP="0062774E">
            <w:pPr>
              <w:jc w:val="both"/>
              <w:rPr>
                <w:rFonts w:ascii="Constantia" w:hAnsi="Constantia" w:cs="Arial"/>
              </w:rPr>
            </w:pPr>
            <w:r w:rsidRPr="00187030">
              <w:rPr>
                <w:rFonts w:ascii="Constantia" w:hAnsi="Constantia" w:cs="Arial"/>
              </w:rPr>
              <w:t>India</w:t>
            </w:r>
          </w:p>
        </w:tc>
        <w:tc>
          <w:tcPr>
            <w:tcW w:w="990" w:type="dxa"/>
            <w:shd w:val="clear" w:color="auto" w:fill="C5E0B3" w:themeFill="accent6" w:themeFillTint="66"/>
          </w:tcPr>
          <w:p w:rsidR="00C1716B" w:rsidRPr="00187030" w:rsidRDefault="00C1716B" w:rsidP="0062774E">
            <w:pPr>
              <w:jc w:val="center"/>
              <w:rPr>
                <w:rFonts w:ascii="Constantia" w:hAnsi="Constantia" w:cs="Arial"/>
              </w:rPr>
            </w:pPr>
            <w:r w:rsidRPr="00187030">
              <w:rPr>
                <w:rFonts w:ascii="Constantia" w:hAnsi="Constantia" w:cs="Arial"/>
              </w:rPr>
              <w:t>102778</w:t>
            </w:r>
          </w:p>
        </w:tc>
        <w:tc>
          <w:tcPr>
            <w:tcW w:w="1394" w:type="dxa"/>
            <w:shd w:val="clear" w:color="auto" w:fill="C5E0B3" w:themeFill="accent6" w:themeFillTint="66"/>
          </w:tcPr>
          <w:p w:rsidR="00C1716B" w:rsidRPr="00187030" w:rsidRDefault="00C1716B" w:rsidP="0062774E">
            <w:pPr>
              <w:jc w:val="center"/>
              <w:rPr>
                <w:rFonts w:ascii="Constantia" w:hAnsi="Constantia" w:cs="Arial"/>
              </w:rPr>
            </w:pPr>
            <w:r w:rsidRPr="00187030">
              <w:rPr>
                <w:rFonts w:ascii="Constantia" w:hAnsi="Constantia" w:cs="Arial"/>
              </w:rPr>
              <w:t>750000</w:t>
            </w:r>
          </w:p>
        </w:tc>
        <w:tc>
          <w:tcPr>
            <w:tcW w:w="1486" w:type="dxa"/>
            <w:shd w:val="clear" w:color="auto" w:fill="C5E0B3" w:themeFill="accent6" w:themeFillTint="66"/>
          </w:tcPr>
          <w:p w:rsidR="00C1716B" w:rsidRPr="00187030" w:rsidRDefault="00C1716B" w:rsidP="0062774E">
            <w:pPr>
              <w:jc w:val="center"/>
              <w:rPr>
                <w:rFonts w:ascii="Constantia" w:hAnsi="Constantia" w:cs="Arial"/>
              </w:rPr>
            </w:pPr>
            <w:r w:rsidRPr="00187030">
              <w:rPr>
                <w:rFonts w:ascii="Constantia" w:hAnsi="Constantia" w:cs="Arial"/>
              </w:rPr>
              <w:t>150000</w:t>
            </w:r>
          </w:p>
        </w:tc>
      </w:tr>
      <w:tr w:rsidR="00C1716B" w:rsidRPr="00187030" w:rsidTr="00C1716B">
        <w:trPr>
          <w:trHeight w:hRule="exact" w:val="359"/>
        </w:trPr>
        <w:tc>
          <w:tcPr>
            <w:tcW w:w="1368" w:type="dxa"/>
            <w:shd w:val="clear" w:color="auto" w:fill="92D050"/>
          </w:tcPr>
          <w:p w:rsidR="00C1716B" w:rsidRPr="00187030" w:rsidRDefault="00C1716B" w:rsidP="0062774E">
            <w:pPr>
              <w:jc w:val="both"/>
              <w:rPr>
                <w:rFonts w:ascii="Constantia" w:hAnsi="Constantia" w:cs="Arial"/>
              </w:rPr>
            </w:pPr>
            <w:r w:rsidRPr="00187030">
              <w:rPr>
                <w:rFonts w:ascii="Constantia" w:hAnsi="Constantia" w:cs="Arial"/>
              </w:rPr>
              <w:t>Maldives</w:t>
            </w:r>
          </w:p>
        </w:tc>
        <w:tc>
          <w:tcPr>
            <w:tcW w:w="990" w:type="dxa"/>
            <w:shd w:val="clear" w:color="auto" w:fill="92D050"/>
          </w:tcPr>
          <w:p w:rsidR="00C1716B" w:rsidRPr="00187030" w:rsidRDefault="00C1716B" w:rsidP="0062774E">
            <w:pPr>
              <w:jc w:val="center"/>
              <w:rPr>
                <w:rFonts w:ascii="Constantia" w:hAnsi="Constantia" w:cs="Arial"/>
              </w:rPr>
            </w:pPr>
            <w:r w:rsidRPr="00187030">
              <w:rPr>
                <w:rFonts w:ascii="Constantia" w:hAnsi="Constantia" w:cs="Arial"/>
              </w:rPr>
              <w:t>-</w:t>
            </w:r>
          </w:p>
        </w:tc>
        <w:tc>
          <w:tcPr>
            <w:tcW w:w="1394" w:type="dxa"/>
            <w:shd w:val="clear" w:color="auto" w:fill="92D050"/>
          </w:tcPr>
          <w:p w:rsidR="00C1716B" w:rsidRPr="00187030" w:rsidRDefault="00C1716B" w:rsidP="0062774E">
            <w:pPr>
              <w:jc w:val="center"/>
              <w:rPr>
                <w:rFonts w:ascii="Constantia" w:hAnsi="Constantia" w:cs="Arial"/>
              </w:rPr>
            </w:pPr>
            <w:r w:rsidRPr="00187030">
              <w:rPr>
                <w:rFonts w:ascii="Constantia" w:hAnsi="Constantia" w:cs="Arial"/>
              </w:rPr>
              <w:t>-</w:t>
            </w:r>
          </w:p>
        </w:tc>
        <w:tc>
          <w:tcPr>
            <w:tcW w:w="1486" w:type="dxa"/>
            <w:shd w:val="clear" w:color="auto" w:fill="92D050"/>
          </w:tcPr>
          <w:p w:rsidR="00C1716B" w:rsidRPr="00187030" w:rsidRDefault="00C1716B" w:rsidP="0062774E">
            <w:pPr>
              <w:jc w:val="center"/>
              <w:rPr>
                <w:rFonts w:ascii="Constantia" w:hAnsi="Constantia" w:cs="Arial"/>
              </w:rPr>
            </w:pPr>
            <w:r w:rsidRPr="00187030">
              <w:rPr>
                <w:rFonts w:ascii="Constantia" w:hAnsi="Constantia" w:cs="Arial"/>
              </w:rPr>
              <w:t>-</w:t>
            </w:r>
          </w:p>
        </w:tc>
      </w:tr>
      <w:tr w:rsidR="00C1716B" w:rsidRPr="00187030" w:rsidTr="00C1716B">
        <w:trPr>
          <w:trHeight w:hRule="exact" w:val="278"/>
        </w:trPr>
        <w:tc>
          <w:tcPr>
            <w:tcW w:w="1368" w:type="dxa"/>
            <w:shd w:val="clear" w:color="auto" w:fill="C5E0B3" w:themeFill="accent6" w:themeFillTint="66"/>
          </w:tcPr>
          <w:p w:rsidR="00C1716B" w:rsidRPr="00187030" w:rsidRDefault="00C1716B" w:rsidP="0062774E">
            <w:pPr>
              <w:jc w:val="both"/>
              <w:rPr>
                <w:rFonts w:ascii="Constantia" w:hAnsi="Constantia" w:cs="Arial"/>
              </w:rPr>
            </w:pPr>
            <w:r w:rsidRPr="00187030">
              <w:rPr>
                <w:rFonts w:ascii="Constantia" w:hAnsi="Constantia" w:cs="Arial"/>
              </w:rPr>
              <w:t>Nepal</w:t>
            </w:r>
          </w:p>
        </w:tc>
        <w:tc>
          <w:tcPr>
            <w:tcW w:w="990" w:type="dxa"/>
            <w:shd w:val="clear" w:color="auto" w:fill="C5E0B3" w:themeFill="accent6" w:themeFillTint="66"/>
          </w:tcPr>
          <w:p w:rsidR="00C1716B" w:rsidRPr="00187030" w:rsidRDefault="00C1716B" w:rsidP="0062774E">
            <w:pPr>
              <w:jc w:val="center"/>
              <w:rPr>
                <w:rFonts w:ascii="Constantia" w:hAnsi="Constantia" w:cs="Arial"/>
              </w:rPr>
            </w:pPr>
            <w:r w:rsidRPr="00187030">
              <w:rPr>
                <w:rFonts w:ascii="Constantia" w:hAnsi="Constantia" w:cs="Arial"/>
              </w:rPr>
              <w:t>3000</w:t>
            </w:r>
          </w:p>
        </w:tc>
        <w:tc>
          <w:tcPr>
            <w:tcW w:w="1394" w:type="dxa"/>
            <w:shd w:val="clear" w:color="auto" w:fill="C5E0B3" w:themeFill="accent6" w:themeFillTint="66"/>
          </w:tcPr>
          <w:p w:rsidR="00C1716B" w:rsidRPr="00187030" w:rsidRDefault="00C1716B" w:rsidP="0062774E">
            <w:pPr>
              <w:jc w:val="center"/>
              <w:rPr>
                <w:rFonts w:ascii="Constantia" w:hAnsi="Constantia" w:cs="Arial"/>
              </w:rPr>
            </w:pPr>
            <w:r w:rsidRPr="00187030">
              <w:rPr>
                <w:rFonts w:ascii="Constantia" w:hAnsi="Constantia" w:cs="Arial"/>
              </w:rPr>
              <w:t>-</w:t>
            </w:r>
          </w:p>
        </w:tc>
        <w:tc>
          <w:tcPr>
            <w:tcW w:w="1486" w:type="dxa"/>
            <w:shd w:val="clear" w:color="auto" w:fill="C5E0B3" w:themeFill="accent6" w:themeFillTint="66"/>
          </w:tcPr>
          <w:p w:rsidR="00C1716B" w:rsidRPr="00187030" w:rsidRDefault="00C1716B" w:rsidP="0062774E">
            <w:pPr>
              <w:jc w:val="center"/>
              <w:rPr>
                <w:rFonts w:ascii="Constantia" w:hAnsi="Constantia" w:cs="Arial"/>
              </w:rPr>
            </w:pPr>
            <w:r w:rsidRPr="00187030">
              <w:rPr>
                <w:rFonts w:ascii="Constantia" w:hAnsi="Constantia" w:cs="Arial"/>
              </w:rPr>
              <w:t>733000</w:t>
            </w:r>
          </w:p>
        </w:tc>
      </w:tr>
      <w:tr w:rsidR="00C1716B" w:rsidRPr="00187030" w:rsidTr="00C1716B">
        <w:trPr>
          <w:trHeight w:hRule="exact" w:val="350"/>
        </w:trPr>
        <w:tc>
          <w:tcPr>
            <w:tcW w:w="1368" w:type="dxa"/>
            <w:shd w:val="clear" w:color="auto" w:fill="92D050"/>
          </w:tcPr>
          <w:p w:rsidR="00C1716B" w:rsidRPr="00187030" w:rsidRDefault="00C1716B" w:rsidP="0062774E">
            <w:pPr>
              <w:jc w:val="both"/>
              <w:rPr>
                <w:rFonts w:ascii="Constantia" w:hAnsi="Constantia" w:cs="Arial"/>
              </w:rPr>
            </w:pPr>
            <w:r w:rsidRPr="00187030">
              <w:rPr>
                <w:rFonts w:ascii="Constantia" w:hAnsi="Constantia" w:cs="Arial"/>
              </w:rPr>
              <w:t>Pakistan</w:t>
            </w:r>
          </w:p>
        </w:tc>
        <w:tc>
          <w:tcPr>
            <w:tcW w:w="990" w:type="dxa"/>
            <w:shd w:val="clear" w:color="auto" w:fill="92D050"/>
          </w:tcPr>
          <w:p w:rsidR="00C1716B" w:rsidRPr="00187030" w:rsidRDefault="00C1716B" w:rsidP="0062774E">
            <w:pPr>
              <w:jc w:val="center"/>
              <w:rPr>
                <w:rFonts w:ascii="Constantia" w:hAnsi="Constantia" w:cs="Arial"/>
              </w:rPr>
            </w:pPr>
            <w:r w:rsidRPr="00187030">
              <w:rPr>
                <w:rFonts w:ascii="Constantia" w:hAnsi="Constantia" w:cs="Arial"/>
              </w:rPr>
              <w:t>131800</w:t>
            </w:r>
          </w:p>
        </w:tc>
        <w:tc>
          <w:tcPr>
            <w:tcW w:w="1394" w:type="dxa"/>
            <w:shd w:val="clear" w:color="auto" w:fill="92D050"/>
          </w:tcPr>
          <w:p w:rsidR="00C1716B" w:rsidRPr="00187030" w:rsidRDefault="00C1716B" w:rsidP="0062774E">
            <w:pPr>
              <w:jc w:val="center"/>
              <w:rPr>
                <w:rFonts w:ascii="Constantia" w:hAnsi="Constantia" w:cs="Arial"/>
              </w:rPr>
            </w:pPr>
            <w:r w:rsidRPr="00187030">
              <w:rPr>
                <w:rFonts w:ascii="Constantia" w:hAnsi="Constantia" w:cs="Arial"/>
              </w:rPr>
              <w:t>169000</w:t>
            </w:r>
          </w:p>
        </w:tc>
        <w:tc>
          <w:tcPr>
            <w:tcW w:w="1486" w:type="dxa"/>
            <w:shd w:val="clear" w:color="auto" w:fill="92D050"/>
          </w:tcPr>
          <w:p w:rsidR="00C1716B" w:rsidRPr="00187030" w:rsidRDefault="00C1716B" w:rsidP="0062774E">
            <w:pPr>
              <w:jc w:val="center"/>
              <w:rPr>
                <w:rFonts w:ascii="Constantia" w:hAnsi="Constantia" w:cs="Arial"/>
              </w:rPr>
            </w:pPr>
            <w:r w:rsidRPr="00187030">
              <w:rPr>
                <w:rFonts w:ascii="Constantia" w:hAnsi="Constantia" w:cs="Arial"/>
              </w:rPr>
              <w:t>60000</w:t>
            </w:r>
          </w:p>
        </w:tc>
      </w:tr>
      <w:tr w:rsidR="00C1716B" w:rsidRPr="00187030" w:rsidTr="00C1716B">
        <w:trPr>
          <w:trHeight w:hRule="exact" w:val="305"/>
        </w:trPr>
        <w:tc>
          <w:tcPr>
            <w:tcW w:w="1368" w:type="dxa"/>
            <w:shd w:val="clear" w:color="auto" w:fill="C5E0B3" w:themeFill="accent6" w:themeFillTint="66"/>
          </w:tcPr>
          <w:p w:rsidR="00C1716B" w:rsidRPr="00187030" w:rsidRDefault="00C1716B" w:rsidP="0062774E">
            <w:pPr>
              <w:jc w:val="both"/>
              <w:rPr>
                <w:rFonts w:ascii="Constantia" w:hAnsi="Constantia" w:cs="Arial"/>
              </w:rPr>
            </w:pPr>
            <w:r w:rsidRPr="00187030">
              <w:rPr>
                <w:rFonts w:ascii="Constantia" w:hAnsi="Constantia" w:cs="Arial"/>
              </w:rPr>
              <w:t>Sri Lanka</w:t>
            </w:r>
          </w:p>
        </w:tc>
        <w:tc>
          <w:tcPr>
            <w:tcW w:w="990" w:type="dxa"/>
            <w:shd w:val="clear" w:color="auto" w:fill="C5E0B3" w:themeFill="accent6" w:themeFillTint="66"/>
          </w:tcPr>
          <w:p w:rsidR="00C1716B" w:rsidRPr="00187030" w:rsidRDefault="00C1716B" w:rsidP="0062774E">
            <w:pPr>
              <w:jc w:val="center"/>
              <w:rPr>
                <w:rFonts w:ascii="Constantia" w:hAnsi="Constantia" w:cs="Arial"/>
              </w:rPr>
            </w:pPr>
            <w:r w:rsidRPr="00187030">
              <w:rPr>
                <w:rFonts w:ascii="Constantia" w:hAnsi="Constantia" w:cs="Arial"/>
              </w:rPr>
              <w:t>24000</w:t>
            </w:r>
          </w:p>
        </w:tc>
        <w:tc>
          <w:tcPr>
            <w:tcW w:w="1394" w:type="dxa"/>
            <w:shd w:val="clear" w:color="auto" w:fill="C5E0B3" w:themeFill="accent6" w:themeFillTint="66"/>
          </w:tcPr>
          <w:p w:rsidR="00C1716B" w:rsidRPr="00187030" w:rsidRDefault="00C1716B" w:rsidP="0062774E">
            <w:pPr>
              <w:jc w:val="center"/>
              <w:rPr>
                <w:rFonts w:ascii="Constantia" w:hAnsi="Constantia" w:cs="Arial"/>
              </w:rPr>
            </w:pPr>
            <w:r w:rsidRPr="00187030">
              <w:rPr>
                <w:rFonts w:ascii="Constantia" w:hAnsi="Constantia" w:cs="Arial"/>
              </w:rPr>
              <w:t>-</w:t>
            </w:r>
          </w:p>
        </w:tc>
        <w:tc>
          <w:tcPr>
            <w:tcW w:w="1486" w:type="dxa"/>
            <w:shd w:val="clear" w:color="auto" w:fill="C5E0B3" w:themeFill="accent6" w:themeFillTint="66"/>
          </w:tcPr>
          <w:p w:rsidR="00C1716B" w:rsidRPr="00187030" w:rsidRDefault="00C1716B" w:rsidP="0062774E">
            <w:pPr>
              <w:jc w:val="center"/>
              <w:rPr>
                <w:rFonts w:ascii="Constantia" w:hAnsi="Constantia" w:cs="Arial"/>
              </w:rPr>
            </w:pPr>
            <w:r w:rsidRPr="00187030">
              <w:rPr>
                <w:rFonts w:ascii="Constantia" w:hAnsi="Constantia" w:cs="Arial"/>
              </w:rPr>
              <w:t>21000</w:t>
            </w:r>
          </w:p>
        </w:tc>
      </w:tr>
      <w:tr w:rsidR="00C1716B" w:rsidRPr="00187030" w:rsidTr="00C1716B">
        <w:trPr>
          <w:trHeight w:val="51"/>
        </w:trPr>
        <w:tc>
          <w:tcPr>
            <w:tcW w:w="1368" w:type="dxa"/>
            <w:shd w:val="clear" w:color="auto" w:fill="92D050"/>
          </w:tcPr>
          <w:p w:rsidR="00C1716B" w:rsidRPr="00187030" w:rsidRDefault="00C1716B" w:rsidP="0062774E">
            <w:pPr>
              <w:jc w:val="both"/>
              <w:rPr>
                <w:rFonts w:ascii="Constantia" w:hAnsi="Constantia" w:cs="Arial"/>
              </w:rPr>
            </w:pPr>
            <w:r w:rsidRPr="00187030">
              <w:rPr>
                <w:rFonts w:ascii="Constantia" w:hAnsi="Constantia" w:cs="Arial"/>
              </w:rPr>
              <w:t>Total</w:t>
            </w:r>
          </w:p>
        </w:tc>
        <w:tc>
          <w:tcPr>
            <w:tcW w:w="990" w:type="dxa"/>
            <w:shd w:val="clear" w:color="auto" w:fill="92D050"/>
          </w:tcPr>
          <w:p w:rsidR="00C1716B" w:rsidRPr="00187030" w:rsidRDefault="00C1716B" w:rsidP="0062774E">
            <w:pPr>
              <w:jc w:val="center"/>
              <w:rPr>
                <w:rFonts w:ascii="Constantia" w:hAnsi="Constantia" w:cs="Arial"/>
              </w:rPr>
            </w:pPr>
            <w:r w:rsidRPr="00187030">
              <w:rPr>
                <w:rFonts w:ascii="Constantia" w:hAnsi="Constantia" w:cs="Arial"/>
              </w:rPr>
              <w:t>333403</w:t>
            </w:r>
          </w:p>
        </w:tc>
        <w:tc>
          <w:tcPr>
            <w:tcW w:w="1394" w:type="dxa"/>
            <w:shd w:val="clear" w:color="auto" w:fill="92D050"/>
          </w:tcPr>
          <w:p w:rsidR="00C1716B" w:rsidRPr="00187030" w:rsidRDefault="00C1716B" w:rsidP="0062774E">
            <w:pPr>
              <w:jc w:val="center"/>
              <w:rPr>
                <w:rFonts w:ascii="Constantia" w:hAnsi="Constantia" w:cs="Arial"/>
              </w:rPr>
            </w:pPr>
            <w:r w:rsidRPr="00187030">
              <w:rPr>
                <w:rFonts w:ascii="Constantia" w:hAnsi="Constantia" w:cs="Arial"/>
              </w:rPr>
              <w:t>1139000</w:t>
            </w:r>
          </w:p>
        </w:tc>
        <w:tc>
          <w:tcPr>
            <w:tcW w:w="1486" w:type="dxa"/>
            <w:shd w:val="clear" w:color="auto" w:fill="92D050"/>
          </w:tcPr>
          <w:p w:rsidR="00C1716B" w:rsidRPr="00187030" w:rsidRDefault="00C1716B" w:rsidP="0062774E">
            <w:pPr>
              <w:jc w:val="center"/>
              <w:rPr>
                <w:rFonts w:ascii="Constantia" w:hAnsi="Constantia" w:cs="Arial"/>
              </w:rPr>
            </w:pPr>
            <w:r w:rsidRPr="00187030">
              <w:rPr>
                <w:rFonts w:ascii="Constantia" w:hAnsi="Constantia" w:cs="Arial"/>
              </w:rPr>
              <w:t>1254000</w:t>
            </w:r>
          </w:p>
        </w:tc>
      </w:tr>
    </w:tbl>
    <w:p w:rsidR="00DA0202" w:rsidRPr="00DA0202" w:rsidRDefault="00DA0202" w:rsidP="00DA0202">
      <w:pPr>
        <w:autoSpaceDE w:val="0"/>
        <w:autoSpaceDN w:val="0"/>
        <w:adjustRightInd w:val="0"/>
        <w:spacing w:after="0" w:line="240" w:lineRule="auto"/>
        <w:jc w:val="center"/>
        <w:rPr>
          <w:rFonts w:ascii="Garamond" w:hAnsi="Garamond"/>
          <w:b/>
          <w:color w:val="1E1E1E"/>
          <w:sz w:val="30"/>
          <w:szCs w:val="30"/>
          <w:shd w:val="clear" w:color="auto" w:fill="FFFFFF"/>
          <w:lang w:val="en-GB"/>
        </w:rPr>
      </w:pPr>
    </w:p>
    <w:p w:rsidR="00DA0202" w:rsidRDefault="00DA0202" w:rsidP="00CD01EF">
      <w:pPr>
        <w:autoSpaceDE w:val="0"/>
        <w:autoSpaceDN w:val="0"/>
        <w:adjustRightInd w:val="0"/>
        <w:spacing w:after="0" w:line="240" w:lineRule="auto"/>
        <w:rPr>
          <w:rFonts w:ascii="Garamond" w:hAnsi="Garamond"/>
          <w:color w:val="1E1E1E"/>
          <w:sz w:val="30"/>
          <w:szCs w:val="30"/>
          <w:shd w:val="clear" w:color="auto" w:fill="FFFFFF"/>
          <w:lang w:val="en-GB"/>
        </w:rPr>
      </w:pPr>
    </w:p>
    <w:p w:rsidR="00DA0202" w:rsidRDefault="00DA0202" w:rsidP="00CD01EF">
      <w:pPr>
        <w:autoSpaceDE w:val="0"/>
        <w:autoSpaceDN w:val="0"/>
        <w:adjustRightInd w:val="0"/>
        <w:spacing w:after="0" w:line="240" w:lineRule="auto"/>
        <w:rPr>
          <w:rFonts w:ascii="Garamond" w:hAnsi="Garamond"/>
          <w:color w:val="1E1E1E"/>
          <w:sz w:val="30"/>
          <w:szCs w:val="30"/>
          <w:shd w:val="clear" w:color="auto" w:fill="FFFFFF"/>
          <w:lang w:val="en-GB"/>
        </w:rPr>
      </w:pPr>
    </w:p>
    <w:p w:rsidR="00DA0202" w:rsidRDefault="00DA0202" w:rsidP="00CD01EF">
      <w:pPr>
        <w:autoSpaceDE w:val="0"/>
        <w:autoSpaceDN w:val="0"/>
        <w:adjustRightInd w:val="0"/>
        <w:spacing w:after="0" w:line="240" w:lineRule="auto"/>
        <w:rPr>
          <w:rFonts w:ascii="Garamond" w:hAnsi="Garamond"/>
          <w:color w:val="1E1E1E"/>
          <w:sz w:val="30"/>
          <w:szCs w:val="30"/>
          <w:shd w:val="clear" w:color="auto" w:fill="FFFFFF"/>
          <w:lang w:val="en-GB"/>
        </w:rPr>
      </w:pPr>
    </w:p>
    <w:p w:rsidR="00270AEF" w:rsidRDefault="00270AEF" w:rsidP="00CD01EF">
      <w:pPr>
        <w:autoSpaceDE w:val="0"/>
        <w:autoSpaceDN w:val="0"/>
        <w:adjustRightInd w:val="0"/>
        <w:spacing w:after="0" w:line="240" w:lineRule="auto"/>
        <w:rPr>
          <w:rFonts w:ascii="Garamond" w:hAnsi="Garamond"/>
          <w:color w:val="1E1E1E"/>
          <w:sz w:val="30"/>
          <w:szCs w:val="30"/>
          <w:shd w:val="clear" w:color="auto" w:fill="FFFFFF"/>
          <w:lang w:val="en-GB"/>
        </w:rPr>
      </w:pPr>
    </w:p>
    <w:p w:rsidR="00270AEF" w:rsidRDefault="00270AEF" w:rsidP="00CD01EF">
      <w:pPr>
        <w:autoSpaceDE w:val="0"/>
        <w:autoSpaceDN w:val="0"/>
        <w:adjustRightInd w:val="0"/>
        <w:spacing w:after="0" w:line="240" w:lineRule="auto"/>
        <w:rPr>
          <w:rFonts w:ascii="Garamond" w:hAnsi="Garamond"/>
          <w:color w:val="1E1E1E"/>
          <w:sz w:val="30"/>
          <w:szCs w:val="30"/>
          <w:shd w:val="clear" w:color="auto" w:fill="FFFFFF"/>
          <w:lang w:val="en-GB"/>
        </w:rPr>
      </w:pPr>
    </w:p>
    <w:p w:rsidR="00270AEF" w:rsidRDefault="00270AEF" w:rsidP="00CD01EF">
      <w:pPr>
        <w:autoSpaceDE w:val="0"/>
        <w:autoSpaceDN w:val="0"/>
        <w:adjustRightInd w:val="0"/>
        <w:spacing w:after="0" w:line="240" w:lineRule="auto"/>
        <w:rPr>
          <w:rFonts w:ascii="Garamond" w:hAnsi="Garamond"/>
          <w:color w:val="1E1E1E"/>
          <w:sz w:val="30"/>
          <w:szCs w:val="30"/>
          <w:shd w:val="clear" w:color="auto" w:fill="FFFFFF"/>
          <w:lang w:val="en-GB"/>
        </w:rPr>
      </w:pPr>
    </w:p>
    <w:p w:rsidR="00270AEF" w:rsidRDefault="00270AEF" w:rsidP="00CD01EF">
      <w:pPr>
        <w:autoSpaceDE w:val="0"/>
        <w:autoSpaceDN w:val="0"/>
        <w:adjustRightInd w:val="0"/>
        <w:spacing w:after="0" w:line="240" w:lineRule="auto"/>
        <w:rPr>
          <w:rFonts w:ascii="Garamond" w:hAnsi="Garamond"/>
          <w:color w:val="1E1E1E"/>
          <w:sz w:val="30"/>
          <w:szCs w:val="30"/>
          <w:shd w:val="clear" w:color="auto" w:fill="FFFFFF"/>
          <w:lang w:val="en-GB"/>
        </w:rPr>
      </w:pPr>
    </w:p>
    <w:p w:rsidR="00270AEF" w:rsidRDefault="00270AEF" w:rsidP="00CD01EF">
      <w:pPr>
        <w:autoSpaceDE w:val="0"/>
        <w:autoSpaceDN w:val="0"/>
        <w:adjustRightInd w:val="0"/>
        <w:spacing w:after="0" w:line="240" w:lineRule="auto"/>
        <w:rPr>
          <w:rFonts w:ascii="Garamond" w:hAnsi="Garamond"/>
          <w:color w:val="1E1E1E"/>
          <w:sz w:val="30"/>
          <w:szCs w:val="30"/>
          <w:shd w:val="clear" w:color="auto" w:fill="FFFFFF"/>
          <w:lang w:val="en-GB"/>
        </w:rPr>
      </w:pPr>
    </w:p>
    <w:p w:rsidR="00270AEF" w:rsidRDefault="00270AEF" w:rsidP="00CD01EF">
      <w:pPr>
        <w:autoSpaceDE w:val="0"/>
        <w:autoSpaceDN w:val="0"/>
        <w:adjustRightInd w:val="0"/>
        <w:spacing w:after="0" w:line="240" w:lineRule="auto"/>
        <w:rPr>
          <w:rFonts w:ascii="Garamond" w:hAnsi="Garamond"/>
          <w:color w:val="1E1E1E"/>
          <w:sz w:val="30"/>
          <w:szCs w:val="30"/>
          <w:shd w:val="clear" w:color="auto" w:fill="FFFFFF"/>
          <w:lang w:val="en-GB"/>
        </w:rPr>
      </w:pPr>
    </w:p>
    <w:p w:rsidR="00D41AAB" w:rsidRDefault="00D41AAB" w:rsidP="00CD01EF">
      <w:pPr>
        <w:autoSpaceDE w:val="0"/>
        <w:autoSpaceDN w:val="0"/>
        <w:adjustRightInd w:val="0"/>
        <w:spacing w:after="0" w:line="240" w:lineRule="auto"/>
        <w:rPr>
          <w:rFonts w:ascii="Garamond" w:hAnsi="Garamond"/>
          <w:color w:val="1E1E1E"/>
          <w:sz w:val="30"/>
          <w:szCs w:val="30"/>
          <w:shd w:val="clear" w:color="auto" w:fill="FFFFFF"/>
        </w:rPr>
      </w:pPr>
    </w:p>
    <w:p w:rsidR="00270AEF" w:rsidRDefault="004D70B0" w:rsidP="0072778C">
      <w:pPr>
        <w:autoSpaceDE w:val="0"/>
        <w:autoSpaceDN w:val="0"/>
        <w:adjustRightInd w:val="0"/>
        <w:spacing w:after="0" w:line="240" w:lineRule="auto"/>
        <w:jc w:val="both"/>
        <w:rPr>
          <w:rFonts w:ascii="Garamond" w:hAnsi="Garamond"/>
          <w:color w:val="1E1E1E"/>
          <w:sz w:val="30"/>
          <w:szCs w:val="30"/>
          <w:shd w:val="clear" w:color="auto" w:fill="FFFFFF"/>
        </w:rPr>
      </w:pPr>
      <w:r w:rsidRPr="004D70B0">
        <w:rPr>
          <w:rFonts w:ascii="Garamond" w:hAnsi="Garamond"/>
          <w:color w:val="1E1E1E"/>
          <w:sz w:val="30"/>
          <w:szCs w:val="30"/>
          <w:shd w:val="clear" w:color="auto" w:fill="FFFFFF"/>
        </w:rPr>
        <w:tab/>
        <w:t>The existing Cross-Border Electricity Trade (CBET) is depicted in the following graph. There are six REI initiatives from which Pakistan can benefit. A brief overview of the initiatives and their analysis is as follows: -</w:t>
      </w:r>
    </w:p>
    <w:p w:rsidR="0050595E" w:rsidRDefault="0050595E" w:rsidP="00CD01EF">
      <w:pPr>
        <w:autoSpaceDE w:val="0"/>
        <w:autoSpaceDN w:val="0"/>
        <w:adjustRightInd w:val="0"/>
        <w:spacing w:after="0" w:line="240" w:lineRule="auto"/>
        <w:rPr>
          <w:rFonts w:ascii="Garamond" w:hAnsi="Garamond"/>
          <w:color w:val="1E1E1E"/>
          <w:sz w:val="30"/>
          <w:szCs w:val="30"/>
          <w:shd w:val="clear" w:color="auto" w:fill="FFFFFF"/>
          <w:lang w:val="en-GB"/>
        </w:rPr>
      </w:pPr>
      <w:r w:rsidRPr="007D6572">
        <w:rPr>
          <w:rFonts w:ascii="Arial" w:hAnsi="Arial" w:cs="Arial"/>
          <w:noProof/>
        </w:rPr>
        <w:lastRenderedPageBreak/>
        <w:drawing>
          <wp:anchor distT="0" distB="0" distL="114300" distR="114300" simplePos="0" relativeHeight="251665408" behindDoc="1" locked="0" layoutInCell="1" allowOverlap="1">
            <wp:simplePos x="0" y="0"/>
            <wp:positionH relativeFrom="column">
              <wp:posOffset>990600</wp:posOffset>
            </wp:positionH>
            <wp:positionV relativeFrom="paragraph">
              <wp:posOffset>9525</wp:posOffset>
            </wp:positionV>
            <wp:extent cx="4009390" cy="2200275"/>
            <wp:effectExtent l="0" t="0" r="10160" b="9525"/>
            <wp:wrapTight wrapText="bothSides">
              <wp:wrapPolygon edited="0">
                <wp:start x="0" y="0"/>
                <wp:lineTo x="0" y="21506"/>
                <wp:lineTo x="21552" y="21506"/>
                <wp:lineTo x="21552" y="0"/>
                <wp:lineTo x="0" y="0"/>
              </wp:wrapPolygon>
            </wp:wrapTight>
            <wp:docPr id="130087417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50595E" w:rsidRDefault="0050595E" w:rsidP="00CD01EF">
      <w:pPr>
        <w:autoSpaceDE w:val="0"/>
        <w:autoSpaceDN w:val="0"/>
        <w:adjustRightInd w:val="0"/>
        <w:spacing w:after="0" w:line="240" w:lineRule="auto"/>
        <w:rPr>
          <w:rFonts w:ascii="Garamond" w:hAnsi="Garamond"/>
          <w:color w:val="1E1E1E"/>
          <w:sz w:val="30"/>
          <w:szCs w:val="30"/>
          <w:shd w:val="clear" w:color="auto" w:fill="FFFFFF"/>
          <w:lang w:val="en-GB"/>
        </w:rPr>
      </w:pPr>
    </w:p>
    <w:p w:rsidR="0050595E" w:rsidRDefault="0050595E" w:rsidP="00CD01EF">
      <w:pPr>
        <w:autoSpaceDE w:val="0"/>
        <w:autoSpaceDN w:val="0"/>
        <w:adjustRightInd w:val="0"/>
        <w:spacing w:after="0" w:line="240" w:lineRule="auto"/>
        <w:rPr>
          <w:rFonts w:ascii="Garamond" w:hAnsi="Garamond"/>
          <w:color w:val="1E1E1E"/>
          <w:sz w:val="30"/>
          <w:szCs w:val="30"/>
          <w:shd w:val="clear" w:color="auto" w:fill="FFFFFF"/>
          <w:lang w:val="en-GB"/>
        </w:rPr>
      </w:pPr>
    </w:p>
    <w:p w:rsidR="0050595E" w:rsidRDefault="0050595E" w:rsidP="00CD01EF">
      <w:pPr>
        <w:autoSpaceDE w:val="0"/>
        <w:autoSpaceDN w:val="0"/>
        <w:adjustRightInd w:val="0"/>
        <w:spacing w:after="0" w:line="240" w:lineRule="auto"/>
        <w:rPr>
          <w:rFonts w:ascii="Garamond" w:hAnsi="Garamond"/>
          <w:color w:val="1E1E1E"/>
          <w:sz w:val="30"/>
          <w:szCs w:val="30"/>
          <w:shd w:val="clear" w:color="auto" w:fill="FFFFFF"/>
          <w:lang w:val="en-GB"/>
        </w:rPr>
      </w:pPr>
    </w:p>
    <w:p w:rsidR="0050595E" w:rsidRDefault="0050595E" w:rsidP="00CD01EF">
      <w:pPr>
        <w:autoSpaceDE w:val="0"/>
        <w:autoSpaceDN w:val="0"/>
        <w:adjustRightInd w:val="0"/>
        <w:spacing w:after="0" w:line="240" w:lineRule="auto"/>
        <w:rPr>
          <w:rFonts w:ascii="Garamond" w:hAnsi="Garamond"/>
          <w:color w:val="1E1E1E"/>
          <w:sz w:val="30"/>
          <w:szCs w:val="30"/>
          <w:shd w:val="clear" w:color="auto" w:fill="FFFFFF"/>
          <w:lang w:val="en-GB"/>
        </w:rPr>
      </w:pPr>
    </w:p>
    <w:p w:rsidR="0050595E" w:rsidRDefault="0050595E" w:rsidP="00CD01EF">
      <w:pPr>
        <w:autoSpaceDE w:val="0"/>
        <w:autoSpaceDN w:val="0"/>
        <w:adjustRightInd w:val="0"/>
        <w:spacing w:after="0" w:line="240" w:lineRule="auto"/>
        <w:rPr>
          <w:rFonts w:ascii="Garamond" w:hAnsi="Garamond"/>
          <w:color w:val="1E1E1E"/>
          <w:sz w:val="30"/>
          <w:szCs w:val="30"/>
          <w:shd w:val="clear" w:color="auto" w:fill="FFFFFF"/>
          <w:lang w:val="en-GB"/>
        </w:rPr>
      </w:pPr>
    </w:p>
    <w:p w:rsidR="0050595E" w:rsidRDefault="0050595E" w:rsidP="00CD01EF">
      <w:pPr>
        <w:autoSpaceDE w:val="0"/>
        <w:autoSpaceDN w:val="0"/>
        <w:adjustRightInd w:val="0"/>
        <w:spacing w:after="0" w:line="240" w:lineRule="auto"/>
        <w:rPr>
          <w:rFonts w:ascii="Garamond" w:hAnsi="Garamond"/>
          <w:color w:val="1E1E1E"/>
          <w:sz w:val="30"/>
          <w:szCs w:val="30"/>
          <w:shd w:val="clear" w:color="auto" w:fill="FFFFFF"/>
          <w:lang w:val="en-GB"/>
        </w:rPr>
      </w:pPr>
    </w:p>
    <w:p w:rsidR="0050595E" w:rsidRDefault="0050595E" w:rsidP="00CD01EF">
      <w:pPr>
        <w:autoSpaceDE w:val="0"/>
        <w:autoSpaceDN w:val="0"/>
        <w:adjustRightInd w:val="0"/>
        <w:spacing w:after="0" w:line="240" w:lineRule="auto"/>
        <w:rPr>
          <w:rFonts w:ascii="Garamond" w:hAnsi="Garamond"/>
          <w:color w:val="1E1E1E"/>
          <w:sz w:val="30"/>
          <w:szCs w:val="30"/>
          <w:shd w:val="clear" w:color="auto" w:fill="FFFFFF"/>
          <w:lang w:val="en-GB"/>
        </w:rPr>
      </w:pPr>
    </w:p>
    <w:p w:rsidR="0050595E" w:rsidRDefault="0050595E" w:rsidP="00CD01EF">
      <w:pPr>
        <w:autoSpaceDE w:val="0"/>
        <w:autoSpaceDN w:val="0"/>
        <w:adjustRightInd w:val="0"/>
        <w:spacing w:after="0" w:line="240" w:lineRule="auto"/>
        <w:rPr>
          <w:rFonts w:ascii="Garamond" w:hAnsi="Garamond"/>
          <w:color w:val="1E1E1E"/>
          <w:sz w:val="30"/>
          <w:szCs w:val="30"/>
          <w:shd w:val="clear" w:color="auto" w:fill="FFFFFF"/>
          <w:lang w:val="en-GB"/>
        </w:rPr>
      </w:pPr>
    </w:p>
    <w:p w:rsidR="0050595E" w:rsidRDefault="0050595E" w:rsidP="00CD01EF">
      <w:pPr>
        <w:autoSpaceDE w:val="0"/>
        <w:autoSpaceDN w:val="0"/>
        <w:adjustRightInd w:val="0"/>
        <w:spacing w:after="0" w:line="240" w:lineRule="auto"/>
        <w:rPr>
          <w:rFonts w:ascii="Garamond" w:hAnsi="Garamond"/>
          <w:color w:val="1E1E1E"/>
          <w:sz w:val="30"/>
          <w:szCs w:val="30"/>
          <w:shd w:val="clear" w:color="auto" w:fill="FFFFFF"/>
          <w:lang w:val="en-GB"/>
        </w:rPr>
      </w:pPr>
    </w:p>
    <w:p w:rsidR="0050595E" w:rsidRDefault="0050595E" w:rsidP="00CD01EF">
      <w:pPr>
        <w:autoSpaceDE w:val="0"/>
        <w:autoSpaceDN w:val="0"/>
        <w:adjustRightInd w:val="0"/>
        <w:spacing w:after="0" w:line="240" w:lineRule="auto"/>
        <w:rPr>
          <w:rFonts w:ascii="Garamond" w:hAnsi="Garamond"/>
          <w:color w:val="1E1E1E"/>
          <w:sz w:val="30"/>
          <w:szCs w:val="30"/>
          <w:shd w:val="clear" w:color="auto" w:fill="FFFFFF"/>
          <w:lang w:val="en-GB"/>
        </w:rPr>
      </w:pPr>
    </w:p>
    <w:p w:rsidR="00C4721C" w:rsidRPr="00C4721C" w:rsidRDefault="00C4721C" w:rsidP="00C4721C">
      <w:pPr>
        <w:autoSpaceDE w:val="0"/>
        <w:autoSpaceDN w:val="0"/>
        <w:adjustRightInd w:val="0"/>
        <w:spacing w:after="0" w:line="240" w:lineRule="auto"/>
        <w:jc w:val="both"/>
        <w:rPr>
          <w:rFonts w:ascii="Garamond" w:hAnsi="Garamond"/>
          <w:color w:val="1E1E1E"/>
          <w:sz w:val="30"/>
          <w:szCs w:val="30"/>
          <w:shd w:val="clear" w:color="auto" w:fill="FFFFFF"/>
        </w:rPr>
      </w:pPr>
      <w:r>
        <w:rPr>
          <w:rFonts w:ascii="Garamond" w:hAnsi="Garamond"/>
          <w:color w:val="1E1E1E"/>
          <w:sz w:val="30"/>
          <w:szCs w:val="30"/>
          <w:shd w:val="clear" w:color="auto" w:fill="FFFFFF"/>
        </w:rPr>
        <w:tab/>
      </w:r>
      <w:r w:rsidRPr="00C4721C">
        <w:rPr>
          <w:rFonts w:ascii="Garamond" w:hAnsi="Garamond"/>
          <w:color w:val="1E1E1E"/>
          <w:sz w:val="30"/>
          <w:szCs w:val="30"/>
          <w:shd w:val="clear" w:color="auto" w:fill="FFFFFF"/>
        </w:rPr>
        <w:t>In 2004, the South Asian Association for Regional Cooperation (SAARC) Energy Centre was established to foster sub-regional cooperation. India’s role was crucial in framing the SAARC Framework Agreement for Energy Cooperation (Electricity) 2014. This framework was designed to boost regional energy collaboration.  However, the effectiveness of SAARC initiatives has been debated recently. Notwithstanding these challenges, progress has been reported in cross-border electricity trade among Bangladesh, Nepal, and India, per the World Bank’s findings. Nonetheless, these developments should be considered within the broader context of SAARC dynamics.</w:t>
      </w:r>
    </w:p>
    <w:p w:rsidR="00C4721C" w:rsidRDefault="00C4721C" w:rsidP="00C4721C">
      <w:pPr>
        <w:autoSpaceDE w:val="0"/>
        <w:autoSpaceDN w:val="0"/>
        <w:adjustRightInd w:val="0"/>
        <w:spacing w:after="0" w:line="240" w:lineRule="auto"/>
        <w:jc w:val="both"/>
        <w:rPr>
          <w:rFonts w:ascii="Garamond" w:hAnsi="Garamond"/>
          <w:color w:val="1E1E1E"/>
          <w:sz w:val="30"/>
          <w:szCs w:val="30"/>
          <w:shd w:val="clear" w:color="auto" w:fill="FFFFFF"/>
        </w:rPr>
      </w:pPr>
      <w:r w:rsidRPr="00C4721C">
        <w:rPr>
          <w:rFonts w:ascii="Garamond" w:hAnsi="Garamond"/>
          <w:color w:val="1E1E1E"/>
          <w:sz w:val="30"/>
          <w:szCs w:val="30"/>
          <w:shd w:val="clear" w:color="auto" w:fill="FFFFFF"/>
        </w:rPr>
        <w:tab/>
      </w:r>
    </w:p>
    <w:p w:rsidR="00675302" w:rsidRDefault="00675302" w:rsidP="00C23F91">
      <w:pPr>
        <w:autoSpaceDE w:val="0"/>
        <w:autoSpaceDN w:val="0"/>
        <w:adjustRightInd w:val="0"/>
        <w:spacing w:after="0" w:line="240" w:lineRule="auto"/>
        <w:ind w:firstLine="720"/>
        <w:jc w:val="both"/>
        <w:rPr>
          <w:rFonts w:ascii="Garamond" w:hAnsi="Garamond"/>
          <w:color w:val="1E1E1E"/>
          <w:sz w:val="30"/>
          <w:szCs w:val="30"/>
          <w:shd w:val="clear" w:color="auto" w:fill="FFFFFF"/>
        </w:rPr>
      </w:pPr>
      <w:r w:rsidRPr="00675302">
        <w:rPr>
          <w:rFonts w:ascii="Garamond" w:hAnsi="Garamond"/>
          <w:color w:val="1E1E1E"/>
          <w:sz w:val="30"/>
          <w:szCs w:val="30"/>
          <w:shd w:val="clear" w:color="auto" w:fill="FFFFFF"/>
        </w:rPr>
        <w:t xml:space="preserve">Both the Turkmenistan-Afghanistan-Pakistan-India Pipeline (TAPI) and Iran-Pakistan-India (IPI) projects were conceived to acquire cheap gas by accessing Iran and Central Asia (CA). However, both projects still need to be completed. Indian intransigence against Pakistan and undermining of SAARC in favour of other regional platforms like the Bay of Bengal Initiative for Multisectoral Technical and Economic Cooperation (BIMSTEC) and Bangladesh, Bhutan, India, Nepal (BBIN) skirting Pakistan leaves little hope for REI from the East. </w:t>
      </w:r>
    </w:p>
    <w:p w:rsidR="00675302" w:rsidRPr="00675302" w:rsidRDefault="00675302" w:rsidP="00675302">
      <w:pPr>
        <w:autoSpaceDE w:val="0"/>
        <w:autoSpaceDN w:val="0"/>
        <w:adjustRightInd w:val="0"/>
        <w:spacing w:after="0" w:line="240" w:lineRule="auto"/>
        <w:jc w:val="both"/>
        <w:rPr>
          <w:rFonts w:ascii="Garamond" w:hAnsi="Garamond"/>
          <w:color w:val="1E1E1E"/>
          <w:sz w:val="30"/>
          <w:szCs w:val="30"/>
          <w:shd w:val="clear" w:color="auto" w:fill="FFFFFF"/>
        </w:rPr>
      </w:pPr>
    </w:p>
    <w:p w:rsidR="006C51D2" w:rsidRDefault="00675302" w:rsidP="00675302">
      <w:pPr>
        <w:autoSpaceDE w:val="0"/>
        <w:autoSpaceDN w:val="0"/>
        <w:adjustRightInd w:val="0"/>
        <w:spacing w:after="0" w:line="240" w:lineRule="auto"/>
        <w:jc w:val="both"/>
        <w:rPr>
          <w:rFonts w:ascii="Garamond" w:hAnsi="Garamond"/>
          <w:color w:val="1E1E1E"/>
          <w:sz w:val="30"/>
          <w:szCs w:val="30"/>
          <w:shd w:val="clear" w:color="auto" w:fill="FFFFFF"/>
        </w:rPr>
      </w:pPr>
      <w:r w:rsidRPr="00675302">
        <w:rPr>
          <w:rFonts w:ascii="Garamond" w:hAnsi="Garamond"/>
          <w:color w:val="1E1E1E"/>
          <w:sz w:val="30"/>
          <w:szCs w:val="30"/>
          <w:shd w:val="clear" w:color="auto" w:fill="FFFFFF"/>
        </w:rPr>
        <w:tab/>
        <w:t>Instability in Afghanistan hinders the transit of energy from Central Asia to Pakistan. Nevertheless, there lies an opportunity within Afghanistan itself. The country imports 85% of its electricity from four to five neighbouring countries, excluding Pakistan. Since Afghanistan has no unified, country-wide transmission system, its population centres along the border with Pakistan present a unique opportunity for energy trade. Notably, Pakistan's electricity demand in winter is about 35% lower than in summer. In contrast, Afghanistan's winter electricity needs surge to 150 - 180% of its summer consumption</w:t>
      </w:r>
      <w:r w:rsidR="00546B5B" w:rsidRPr="00546B5B">
        <w:rPr>
          <w:rFonts w:ascii="Garamond" w:hAnsi="Garamond"/>
          <w:color w:val="1E1E1E"/>
          <w:sz w:val="30"/>
          <w:szCs w:val="30"/>
          <w:shd w:val="clear" w:color="auto" w:fill="FFFFFF"/>
        </w:rPr>
        <w:t>.</w:t>
      </w:r>
    </w:p>
    <w:p w:rsidR="009B09BE" w:rsidRDefault="00A3671E" w:rsidP="009B09BE">
      <w:pPr>
        <w:autoSpaceDE w:val="0"/>
        <w:autoSpaceDN w:val="0"/>
        <w:adjustRightInd w:val="0"/>
        <w:spacing w:after="0" w:line="240" w:lineRule="auto"/>
        <w:jc w:val="center"/>
        <w:rPr>
          <w:rFonts w:ascii="Garamond" w:hAnsi="Garamond"/>
          <w:b/>
          <w:color w:val="1E1E1E"/>
          <w:sz w:val="30"/>
          <w:szCs w:val="30"/>
          <w:shd w:val="clear" w:color="auto" w:fill="FFFFFF"/>
          <w:lang w:val="en-GB"/>
        </w:rPr>
      </w:pPr>
      <w:r w:rsidRPr="00ED1C94">
        <w:rPr>
          <w:rFonts w:ascii="Constantia" w:hAnsi="Constantia"/>
          <w:noProof/>
        </w:rPr>
        <w:lastRenderedPageBreak/>
        <w:drawing>
          <wp:anchor distT="0" distB="0" distL="114300" distR="114300" simplePos="0" relativeHeight="251669504" behindDoc="1" locked="0" layoutInCell="1" allowOverlap="1">
            <wp:simplePos x="0" y="0"/>
            <wp:positionH relativeFrom="column">
              <wp:posOffset>581025</wp:posOffset>
            </wp:positionH>
            <wp:positionV relativeFrom="paragraph">
              <wp:posOffset>314325</wp:posOffset>
            </wp:positionV>
            <wp:extent cx="4743450" cy="2799080"/>
            <wp:effectExtent l="19050" t="19050" r="19050" b="20320"/>
            <wp:wrapTight wrapText="bothSides">
              <wp:wrapPolygon edited="0">
                <wp:start x="-87" y="-147"/>
                <wp:lineTo x="-87" y="21610"/>
                <wp:lineTo x="21600" y="21610"/>
                <wp:lineTo x="21600" y="-147"/>
                <wp:lineTo x="-87" y="-147"/>
              </wp:wrapPolygon>
            </wp:wrapTight>
            <wp:docPr id="11" name="Picture 11" descr="C:\Users\SH786\AppData\Local\Packages\5319275A.WhatsAppDesktop_cv1g1gvanyjgm\TempState\F12A6A7477077AF66212EF0813BCF332\WhatsApp Image 2023-08-26 at 20.16.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H786\AppData\Local\Packages\5319275A.WhatsAppDesktop_cv1g1gvanyjgm\TempState\F12A6A7477077AF66212EF0813BCF332\WhatsApp Image 2023-08-26 at 20.16.30.jpg"/>
                    <pic:cNvPicPr>
                      <a:picLocks noChangeAspect="1" noChangeArrowheads="1"/>
                    </pic:cNvPicPr>
                  </pic:nvPicPr>
                  <pic:blipFill rotWithShape="1">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951" t="13497" r="1034" b="8789"/>
                    <a:stretch/>
                  </pic:blipFill>
                  <pic:spPr bwMode="auto">
                    <a:xfrm>
                      <a:off x="0" y="0"/>
                      <a:ext cx="4743450" cy="2799080"/>
                    </a:xfrm>
                    <a:prstGeom prst="rect">
                      <a:avLst/>
                    </a:prstGeom>
                    <a:noFill/>
                    <a:ln>
                      <a:solidFill>
                        <a:schemeClr val="tx1"/>
                      </a:solid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9B09BE" w:rsidRPr="00B21570">
        <w:rPr>
          <w:rFonts w:ascii="Garamond" w:hAnsi="Garamond"/>
          <w:b/>
          <w:color w:val="1E1E1E"/>
          <w:sz w:val="30"/>
          <w:szCs w:val="30"/>
          <w:shd w:val="clear" w:color="auto" w:fill="FFFFFF"/>
          <w:lang w:val="en-GB"/>
        </w:rPr>
        <w:t xml:space="preserve">Table </w:t>
      </w:r>
      <w:r w:rsidR="00D346BD">
        <w:rPr>
          <w:rFonts w:ascii="Garamond" w:hAnsi="Garamond"/>
          <w:b/>
          <w:color w:val="1E1E1E"/>
          <w:sz w:val="30"/>
          <w:szCs w:val="30"/>
          <w:shd w:val="clear" w:color="auto" w:fill="FFFFFF"/>
          <w:lang w:val="en-GB"/>
        </w:rPr>
        <w:t>1</w:t>
      </w:r>
      <w:r w:rsidR="009B09BE" w:rsidRPr="00B21570">
        <w:rPr>
          <w:rFonts w:ascii="Garamond" w:hAnsi="Garamond"/>
          <w:b/>
          <w:color w:val="1E1E1E"/>
          <w:sz w:val="30"/>
          <w:szCs w:val="30"/>
          <w:shd w:val="clear" w:color="auto" w:fill="FFFFFF"/>
          <w:lang w:val="en-GB"/>
        </w:rPr>
        <w:t>: REI / CBET Potential of SA</w:t>
      </w:r>
      <w:r w:rsidR="009B09BE" w:rsidRPr="00B21570">
        <w:rPr>
          <w:rFonts w:ascii="Garamond" w:hAnsi="Garamond"/>
          <w:b/>
          <w:color w:val="1E1E1E"/>
          <w:sz w:val="30"/>
          <w:szCs w:val="30"/>
          <w:shd w:val="clear" w:color="auto" w:fill="FFFFFF"/>
          <w:lang w:val="en-GB"/>
        </w:rPr>
        <w:cr/>
      </w:r>
    </w:p>
    <w:p w:rsidR="00A3671E" w:rsidRPr="00B21570" w:rsidRDefault="00A3671E" w:rsidP="009B09BE">
      <w:pPr>
        <w:autoSpaceDE w:val="0"/>
        <w:autoSpaceDN w:val="0"/>
        <w:adjustRightInd w:val="0"/>
        <w:spacing w:after="0" w:line="240" w:lineRule="auto"/>
        <w:jc w:val="center"/>
        <w:rPr>
          <w:rFonts w:ascii="Garamond" w:hAnsi="Garamond"/>
          <w:b/>
          <w:color w:val="1E1E1E"/>
          <w:sz w:val="30"/>
          <w:szCs w:val="30"/>
          <w:shd w:val="clear" w:color="auto" w:fill="FFFFFF"/>
          <w:lang w:val="en-GB"/>
        </w:rPr>
      </w:pPr>
    </w:p>
    <w:p w:rsidR="009B09BE" w:rsidRDefault="009B09BE" w:rsidP="00CD01EF">
      <w:pPr>
        <w:autoSpaceDE w:val="0"/>
        <w:autoSpaceDN w:val="0"/>
        <w:adjustRightInd w:val="0"/>
        <w:spacing w:after="0" w:line="240" w:lineRule="auto"/>
        <w:rPr>
          <w:rFonts w:ascii="Garamond" w:hAnsi="Garamond"/>
          <w:color w:val="1E1E1E"/>
          <w:sz w:val="30"/>
          <w:szCs w:val="30"/>
          <w:shd w:val="clear" w:color="auto" w:fill="FFFFFF"/>
          <w:lang w:val="en-GB"/>
        </w:rPr>
      </w:pPr>
    </w:p>
    <w:p w:rsidR="00A3671E" w:rsidRDefault="00A3671E" w:rsidP="00CD01EF">
      <w:pPr>
        <w:autoSpaceDE w:val="0"/>
        <w:autoSpaceDN w:val="0"/>
        <w:adjustRightInd w:val="0"/>
        <w:spacing w:after="0" w:line="240" w:lineRule="auto"/>
        <w:rPr>
          <w:rFonts w:ascii="Garamond" w:hAnsi="Garamond"/>
          <w:color w:val="1E1E1E"/>
          <w:sz w:val="30"/>
          <w:szCs w:val="30"/>
          <w:shd w:val="clear" w:color="auto" w:fill="FFFFFF"/>
          <w:lang w:val="en-GB"/>
        </w:rPr>
      </w:pPr>
    </w:p>
    <w:p w:rsidR="00A3671E" w:rsidRDefault="00A3671E" w:rsidP="00CD01EF">
      <w:pPr>
        <w:autoSpaceDE w:val="0"/>
        <w:autoSpaceDN w:val="0"/>
        <w:adjustRightInd w:val="0"/>
        <w:spacing w:after="0" w:line="240" w:lineRule="auto"/>
        <w:rPr>
          <w:rFonts w:ascii="Garamond" w:hAnsi="Garamond"/>
          <w:color w:val="1E1E1E"/>
          <w:sz w:val="30"/>
          <w:szCs w:val="30"/>
          <w:shd w:val="clear" w:color="auto" w:fill="FFFFFF"/>
          <w:lang w:val="en-GB"/>
        </w:rPr>
      </w:pPr>
    </w:p>
    <w:p w:rsidR="00A3671E" w:rsidRDefault="00A3671E" w:rsidP="00CD01EF">
      <w:pPr>
        <w:autoSpaceDE w:val="0"/>
        <w:autoSpaceDN w:val="0"/>
        <w:adjustRightInd w:val="0"/>
        <w:spacing w:after="0" w:line="240" w:lineRule="auto"/>
        <w:rPr>
          <w:rFonts w:ascii="Garamond" w:hAnsi="Garamond"/>
          <w:color w:val="1E1E1E"/>
          <w:sz w:val="30"/>
          <w:szCs w:val="30"/>
          <w:shd w:val="clear" w:color="auto" w:fill="FFFFFF"/>
          <w:lang w:val="en-GB"/>
        </w:rPr>
      </w:pPr>
    </w:p>
    <w:p w:rsidR="00A3671E" w:rsidRDefault="00A3671E" w:rsidP="00CD01EF">
      <w:pPr>
        <w:autoSpaceDE w:val="0"/>
        <w:autoSpaceDN w:val="0"/>
        <w:adjustRightInd w:val="0"/>
        <w:spacing w:after="0" w:line="240" w:lineRule="auto"/>
        <w:rPr>
          <w:rFonts w:ascii="Garamond" w:hAnsi="Garamond"/>
          <w:color w:val="1E1E1E"/>
          <w:sz w:val="30"/>
          <w:szCs w:val="30"/>
          <w:shd w:val="clear" w:color="auto" w:fill="FFFFFF"/>
          <w:lang w:val="en-GB"/>
        </w:rPr>
      </w:pPr>
    </w:p>
    <w:p w:rsidR="00A3671E" w:rsidRDefault="00A3671E" w:rsidP="00CD01EF">
      <w:pPr>
        <w:autoSpaceDE w:val="0"/>
        <w:autoSpaceDN w:val="0"/>
        <w:adjustRightInd w:val="0"/>
        <w:spacing w:after="0" w:line="240" w:lineRule="auto"/>
        <w:rPr>
          <w:rFonts w:ascii="Garamond" w:hAnsi="Garamond"/>
          <w:color w:val="1E1E1E"/>
          <w:sz w:val="30"/>
          <w:szCs w:val="30"/>
          <w:shd w:val="clear" w:color="auto" w:fill="FFFFFF"/>
          <w:lang w:val="en-GB"/>
        </w:rPr>
      </w:pPr>
    </w:p>
    <w:p w:rsidR="00A3671E" w:rsidRDefault="00A3671E" w:rsidP="00CD01EF">
      <w:pPr>
        <w:autoSpaceDE w:val="0"/>
        <w:autoSpaceDN w:val="0"/>
        <w:adjustRightInd w:val="0"/>
        <w:spacing w:after="0" w:line="240" w:lineRule="auto"/>
        <w:rPr>
          <w:rFonts w:ascii="Garamond" w:hAnsi="Garamond"/>
          <w:color w:val="1E1E1E"/>
          <w:sz w:val="30"/>
          <w:szCs w:val="30"/>
          <w:shd w:val="clear" w:color="auto" w:fill="FFFFFF"/>
          <w:lang w:val="en-GB"/>
        </w:rPr>
      </w:pPr>
    </w:p>
    <w:p w:rsidR="00A3671E" w:rsidRDefault="00A3671E" w:rsidP="00CD01EF">
      <w:pPr>
        <w:autoSpaceDE w:val="0"/>
        <w:autoSpaceDN w:val="0"/>
        <w:adjustRightInd w:val="0"/>
        <w:spacing w:after="0" w:line="240" w:lineRule="auto"/>
        <w:rPr>
          <w:rFonts w:ascii="Garamond" w:hAnsi="Garamond"/>
          <w:color w:val="1E1E1E"/>
          <w:sz w:val="30"/>
          <w:szCs w:val="30"/>
          <w:shd w:val="clear" w:color="auto" w:fill="FFFFFF"/>
          <w:lang w:val="en-GB"/>
        </w:rPr>
      </w:pPr>
    </w:p>
    <w:p w:rsidR="00A3671E" w:rsidRDefault="00A3671E" w:rsidP="00CD01EF">
      <w:pPr>
        <w:autoSpaceDE w:val="0"/>
        <w:autoSpaceDN w:val="0"/>
        <w:adjustRightInd w:val="0"/>
        <w:spacing w:after="0" w:line="240" w:lineRule="auto"/>
        <w:rPr>
          <w:rFonts w:ascii="Garamond" w:hAnsi="Garamond"/>
          <w:color w:val="1E1E1E"/>
          <w:sz w:val="30"/>
          <w:szCs w:val="30"/>
          <w:shd w:val="clear" w:color="auto" w:fill="FFFFFF"/>
          <w:lang w:val="en-GB"/>
        </w:rPr>
      </w:pPr>
    </w:p>
    <w:p w:rsidR="00A3671E" w:rsidRDefault="00A3671E" w:rsidP="00CD01EF">
      <w:pPr>
        <w:autoSpaceDE w:val="0"/>
        <w:autoSpaceDN w:val="0"/>
        <w:adjustRightInd w:val="0"/>
        <w:spacing w:after="0" w:line="240" w:lineRule="auto"/>
        <w:rPr>
          <w:rFonts w:ascii="Garamond" w:hAnsi="Garamond"/>
          <w:color w:val="1E1E1E"/>
          <w:sz w:val="30"/>
          <w:szCs w:val="30"/>
          <w:shd w:val="clear" w:color="auto" w:fill="FFFFFF"/>
          <w:lang w:val="en-GB"/>
        </w:rPr>
      </w:pPr>
    </w:p>
    <w:p w:rsidR="0034662F" w:rsidRDefault="0034662F" w:rsidP="0034662F">
      <w:pPr>
        <w:autoSpaceDE w:val="0"/>
        <w:autoSpaceDN w:val="0"/>
        <w:adjustRightInd w:val="0"/>
        <w:spacing w:after="0" w:line="240" w:lineRule="auto"/>
        <w:jc w:val="both"/>
        <w:rPr>
          <w:rFonts w:ascii="Garamond" w:hAnsi="Garamond"/>
          <w:color w:val="1E1E1E"/>
          <w:sz w:val="30"/>
          <w:szCs w:val="30"/>
          <w:shd w:val="clear" w:color="auto" w:fill="FFFFFF"/>
        </w:rPr>
      </w:pPr>
    </w:p>
    <w:p w:rsidR="0034662F" w:rsidRDefault="0034662F" w:rsidP="0034662F">
      <w:pPr>
        <w:autoSpaceDE w:val="0"/>
        <w:autoSpaceDN w:val="0"/>
        <w:adjustRightInd w:val="0"/>
        <w:spacing w:after="0" w:line="240" w:lineRule="auto"/>
        <w:jc w:val="both"/>
        <w:rPr>
          <w:rFonts w:ascii="Garamond" w:hAnsi="Garamond"/>
          <w:color w:val="1E1E1E"/>
          <w:sz w:val="30"/>
          <w:szCs w:val="30"/>
          <w:shd w:val="clear" w:color="auto" w:fill="FFFFFF"/>
        </w:rPr>
      </w:pPr>
    </w:p>
    <w:p w:rsidR="007449E0" w:rsidRPr="00DE0DF7" w:rsidRDefault="007449E0" w:rsidP="0034662F">
      <w:pPr>
        <w:autoSpaceDE w:val="0"/>
        <w:autoSpaceDN w:val="0"/>
        <w:adjustRightInd w:val="0"/>
        <w:spacing w:after="0" w:line="240" w:lineRule="auto"/>
        <w:jc w:val="center"/>
        <w:rPr>
          <w:rFonts w:ascii="Garamond" w:hAnsi="Garamond"/>
          <w:b/>
          <w:color w:val="1E1E1E"/>
          <w:sz w:val="30"/>
          <w:szCs w:val="30"/>
          <w:shd w:val="clear" w:color="auto" w:fill="FFFFFF"/>
          <w:lang w:val="en-GB"/>
        </w:rPr>
      </w:pPr>
      <w:r w:rsidRPr="00DE0DF7">
        <w:rPr>
          <w:rFonts w:ascii="Garamond" w:hAnsi="Garamond"/>
          <w:b/>
          <w:color w:val="1E1E1E"/>
          <w:sz w:val="30"/>
          <w:szCs w:val="30"/>
          <w:shd w:val="clear" w:color="auto" w:fill="FFFFFF"/>
        </w:rPr>
        <w:t>Figure 2: Mapping Afghanistan’s Electricity Grid System</w:t>
      </w:r>
    </w:p>
    <w:p w:rsidR="007449E0" w:rsidRDefault="004E6210" w:rsidP="00CD01EF">
      <w:pPr>
        <w:autoSpaceDE w:val="0"/>
        <w:autoSpaceDN w:val="0"/>
        <w:adjustRightInd w:val="0"/>
        <w:spacing w:after="0" w:line="240" w:lineRule="auto"/>
        <w:rPr>
          <w:rFonts w:ascii="Garamond" w:hAnsi="Garamond"/>
          <w:color w:val="1E1E1E"/>
          <w:sz w:val="30"/>
          <w:szCs w:val="30"/>
          <w:shd w:val="clear" w:color="auto" w:fill="FFFFFF"/>
          <w:lang w:val="en-GB"/>
        </w:rPr>
      </w:pPr>
      <w:r w:rsidRPr="00ED1C94">
        <w:rPr>
          <w:rFonts w:ascii="Constantia" w:hAnsi="Constantia"/>
          <w:noProof/>
        </w:rPr>
        <w:drawing>
          <wp:anchor distT="0" distB="0" distL="114300" distR="114300" simplePos="0" relativeHeight="251671552" behindDoc="1" locked="0" layoutInCell="1" allowOverlap="1">
            <wp:simplePos x="0" y="0"/>
            <wp:positionH relativeFrom="column">
              <wp:posOffset>504825</wp:posOffset>
            </wp:positionH>
            <wp:positionV relativeFrom="paragraph">
              <wp:posOffset>85725</wp:posOffset>
            </wp:positionV>
            <wp:extent cx="4828540" cy="2834640"/>
            <wp:effectExtent l="0" t="0" r="0" b="3810"/>
            <wp:wrapThrough wrapText="bothSides">
              <wp:wrapPolygon edited="0">
                <wp:start x="0" y="0"/>
                <wp:lineTo x="0" y="21484"/>
                <wp:lineTo x="21475" y="21484"/>
                <wp:lineTo x="21475" y="0"/>
                <wp:lineTo x="0" y="0"/>
              </wp:wrapPolygon>
            </wp:wrapThrough>
            <wp:docPr id="12" name="Picture 12" descr="No alt text provided for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alt text provided for this image"/>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28540" cy="2834640"/>
                    </a:xfrm>
                    <a:prstGeom prst="rect">
                      <a:avLst/>
                    </a:prstGeom>
                    <a:noFill/>
                    <a:ln>
                      <a:noFill/>
                    </a:ln>
                  </pic:spPr>
                </pic:pic>
              </a:graphicData>
            </a:graphic>
          </wp:anchor>
        </w:drawing>
      </w:r>
    </w:p>
    <w:p w:rsidR="004E6210" w:rsidRDefault="004E6210" w:rsidP="00CD01EF">
      <w:pPr>
        <w:autoSpaceDE w:val="0"/>
        <w:autoSpaceDN w:val="0"/>
        <w:adjustRightInd w:val="0"/>
        <w:spacing w:after="0" w:line="240" w:lineRule="auto"/>
        <w:rPr>
          <w:rFonts w:ascii="Garamond" w:hAnsi="Garamond"/>
          <w:color w:val="1E1E1E"/>
          <w:sz w:val="30"/>
          <w:szCs w:val="30"/>
          <w:shd w:val="clear" w:color="auto" w:fill="FFFFFF"/>
          <w:lang w:val="en-GB"/>
        </w:rPr>
      </w:pPr>
    </w:p>
    <w:p w:rsidR="004E6210" w:rsidRDefault="004E6210" w:rsidP="00CD01EF">
      <w:pPr>
        <w:autoSpaceDE w:val="0"/>
        <w:autoSpaceDN w:val="0"/>
        <w:adjustRightInd w:val="0"/>
        <w:spacing w:after="0" w:line="240" w:lineRule="auto"/>
        <w:rPr>
          <w:rFonts w:ascii="Garamond" w:hAnsi="Garamond"/>
          <w:color w:val="1E1E1E"/>
          <w:sz w:val="30"/>
          <w:szCs w:val="30"/>
          <w:shd w:val="clear" w:color="auto" w:fill="FFFFFF"/>
          <w:lang w:val="en-GB"/>
        </w:rPr>
      </w:pPr>
    </w:p>
    <w:p w:rsidR="004E6210" w:rsidRDefault="004E6210" w:rsidP="00CD01EF">
      <w:pPr>
        <w:autoSpaceDE w:val="0"/>
        <w:autoSpaceDN w:val="0"/>
        <w:adjustRightInd w:val="0"/>
        <w:spacing w:after="0" w:line="240" w:lineRule="auto"/>
        <w:rPr>
          <w:rFonts w:ascii="Garamond" w:hAnsi="Garamond"/>
          <w:color w:val="1E1E1E"/>
          <w:sz w:val="30"/>
          <w:szCs w:val="30"/>
          <w:shd w:val="clear" w:color="auto" w:fill="FFFFFF"/>
          <w:lang w:val="en-GB"/>
        </w:rPr>
      </w:pPr>
    </w:p>
    <w:p w:rsidR="004E6210" w:rsidRDefault="004E6210" w:rsidP="00CD01EF">
      <w:pPr>
        <w:autoSpaceDE w:val="0"/>
        <w:autoSpaceDN w:val="0"/>
        <w:adjustRightInd w:val="0"/>
        <w:spacing w:after="0" w:line="240" w:lineRule="auto"/>
        <w:rPr>
          <w:rFonts w:ascii="Garamond" w:hAnsi="Garamond"/>
          <w:color w:val="1E1E1E"/>
          <w:sz w:val="30"/>
          <w:szCs w:val="30"/>
          <w:shd w:val="clear" w:color="auto" w:fill="FFFFFF"/>
          <w:lang w:val="en-GB"/>
        </w:rPr>
      </w:pPr>
    </w:p>
    <w:p w:rsidR="004E6210" w:rsidRDefault="004E6210" w:rsidP="00CD01EF">
      <w:pPr>
        <w:autoSpaceDE w:val="0"/>
        <w:autoSpaceDN w:val="0"/>
        <w:adjustRightInd w:val="0"/>
        <w:spacing w:after="0" w:line="240" w:lineRule="auto"/>
        <w:rPr>
          <w:rFonts w:ascii="Garamond" w:hAnsi="Garamond"/>
          <w:color w:val="1E1E1E"/>
          <w:sz w:val="30"/>
          <w:szCs w:val="30"/>
          <w:shd w:val="clear" w:color="auto" w:fill="FFFFFF"/>
          <w:lang w:val="en-GB"/>
        </w:rPr>
      </w:pPr>
    </w:p>
    <w:p w:rsidR="004E6210" w:rsidRDefault="004E6210" w:rsidP="00CD01EF">
      <w:pPr>
        <w:autoSpaceDE w:val="0"/>
        <w:autoSpaceDN w:val="0"/>
        <w:adjustRightInd w:val="0"/>
        <w:spacing w:after="0" w:line="240" w:lineRule="auto"/>
        <w:rPr>
          <w:rFonts w:ascii="Garamond" w:hAnsi="Garamond"/>
          <w:color w:val="1E1E1E"/>
          <w:sz w:val="30"/>
          <w:szCs w:val="30"/>
          <w:shd w:val="clear" w:color="auto" w:fill="FFFFFF"/>
          <w:lang w:val="en-GB"/>
        </w:rPr>
      </w:pPr>
    </w:p>
    <w:p w:rsidR="004E6210" w:rsidRDefault="004E6210" w:rsidP="00CD01EF">
      <w:pPr>
        <w:autoSpaceDE w:val="0"/>
        <w:autoSpaceDN w:val="0"/>
        <w:adjustRightInd w:val="0"/>
        <w:spacing w:after="0" w:line="240" w:lineRule="auto"/>
        <w:rPr>
          <w:rFonts w:ascii="Garamond" w:hAnsi="Garamond"/>
          <w:color w:val="1E1E1E"/>
          <w:sz w:val="30"/>
          <w:szCs w:val="30"/>
          <w:shd w:val="clear" w:color="auto" w:fill="FFFFFF"/>
          <w:lang w:val="en-GB"/>
        </w:rPr>
      </w:pPr>
    </w:p>
    <w:p w:rsidR="004E6210" w:rsidRDefault="004E6210" w:rsidP="00CD01EF">
      <w:pPr>
        <w:autoSpaceDE w:val="0"/>
        <w:autoSpaceDN w:val="0"/>
        <w:adjustRightInd w:val="0"/>
        <w:spacing w:after="0" w:line="240" w:lineRule="auto"/>
        <w:rPr>
          <w:rFonts w:ascii="Garamond" w:hAnsi="Garamond"/>
          <w:color w:val="1E1E1E"/>
          <w:sz w:val="30"/>
          <w:szCs w:val="30"/>
          <w:shd w:val="clear" w:color="auto" w:fill="FFFFFF"/>
          <w:lang w:val="en-GB"/>
        </w:rPr>
      </w:pPr>
    </w:p>
    <w:p w:rsidR="004E6210" w:rsidRDefault="004E6210" w:rsidP="00CD01EF">
      <w:pPr>
        <w:autoSpaceDE w:val="0"/>
        <w:autoSpaceDN w:val="0"/>
        <w:adjustRightInd w:val="0"/>
        <w:spacing w:after="0" w:line="240" w:lineRule="auto"/>
        <w:rPr>
          <w:rFonts w:ascii="Garamond" w:hAnsi="Garamond"/>
          <w:color w:val="1E1E1E"/>
          <w:sz w:val="30"/>
          <w:szCs w:val="30"/>
          <w:shd w:val="clear" w:color="auto" w:fill="FFFFFF"/>
          <w:lang w:val="en-GB"/>
        </w:rPr>
      </w:pPr>
    </w:p>
    <w:p w:rsidR="004E6210" w:rsidRDefault="004E6210" w:rsidP="00CD01EF">
      <w:pPr>
        <w:autoSpaceDE w:val="0"/>
        <w:autoSpaceDN w:val="0"/>
        <w:adjustRightInd w:val="0"/>
        <w:spacing w:after="0" w:line="240" w:lineRule="auto"/>
        <w:rPr>
          <w:rFonts w:ascii="Garamond" w:hAnsi="Garamond"/>
          <w:color w:val="1E1E1E"/>
          <w:sz w:val="30"/>
          <w:szCs w:val="30"/>
          <w:shd w:val="clear" w:color="auto" w:fill="FFFFFF"/>
          <w:lang w:val="en-GB"/>
        </w:rPr>
      </w:pPr>
    </w:p>
    <w:p w:rsidR="004E6210" w:rsidRDefault="004E6210" w:rsidP="00CD01EF">
      <w:pPr>
        <w:autoSpaceDE w:val="0"/>
        <w:autoSpaceDN w:val="0"/>
        <w:adjustRightInd w:val="0"/>
        <w:spacing w:after="0" w:line="240" w:lineRule="auto"/>
        <w:rPr>
          <w:rFonts w:ascii="Garamond" w:hAnsi="Garamond"/>
          <w:color w:val="1E1E1E"/>
          <w:sz w:val="30"/>
          <w:szCs w:val="30"/>
          <w:shd w:val="clear" w:color="auto" w:fill="FFFFFF"/>
          <w:lang w:val="en-GB"/>
        </w:rPr>
      </w:pPr>
    </w:p>
    <w:p w:rsidR="004E6210" w:rsidRDefault="004E6210" w:rsidP="00CD01EF">
      <w:pPr>
        <w:autoSpaceDE w:val="0"/>
        <w:autoSpaceDN w:val="0"/>
        <w:adjustRightInd w:val="0"/>
        <w:spacing w:after="0" w:line="240" w:lineRule="auto"/>
        <w:rPr>
          <w:rFonts w:ascii="Garamond" w:hAnsi="Garamond"/>
          <w:color w:val="1E1E1E"/>
          <w:sz w:val="30"/>
          <w:szCs w:val="30"/>
          <w:shd w:val="clear" w:color="auto" w:fill="FFFFFF"/>
          <w:lang w:val="en-GB"/>
        </w:rPr>
      </w:pPr>
    </w:p>
    <w:p w:rsidR="004E6210" w:rsidRDefault="004E6210" w:rsidP="00CD01EF">
      <w:pPr>
        <w:autoSpaceDE w:val="0"/>
        <w:autoSpaceDN w:val="0"/>
        <w:adjustRightInd w:val="0"/>
        <w:spacing w:after="0" w:line="240" w:lineRule="auto"/>
        <w:rPr>
          <w:rFonts w:ascii="Garamond" w:hAnsi="Garamond"/>
          <w:color w:val="1E1E1E"/>
          <w:sz w:val="30"/>
          <w:szCs w:val="30"/>
          <w:shd w:val="clear" w:color="auto" w:fill="FFFFFF"/>
          <w:lang w:val="en-GB"/>
        </w:rPr>
      </w:pPr>
    </w:p>
    <w:p w:rsidR="00BE3B6C" w:rsidRDefault="007B775A" w:rsidP="00BE3B6C">
      <w:pPr>
        <w:autoSpaceDE w:val="0"/>
        <w:autoSpaceDN w:val="0"/>
        <w:adjustRightInd w:val="0"/>
        <w:spacing w:after="0" w:line="240" w:lineRule="auto"/>
        <w:jc w:val="both"/>
        <w:rPr>
          <w:rFonts w:ascii="Garamond" w:hAnsi="Garamond"/>
          <w:color w:val="1E1E1E"/>
          <w:sz w:val="30"/>
          <w:szCs w:val="30"/>
          <w:shd w:val="clear" w:color="auto" w:fill="FFFFFF"/>
        </w:rPr>
      </w:pPr>
      <w:r>
        <w:rPr>
          <w:rFonts w:ascii="Garamond" w:hAnsi="Garamond"/>
          <w:color w:val="1E1E1E"/>
          <w:sz w:val="30"/>
          <w:szCs w:val="30"/>
          <w:shd w:val="clear" w:color="auto" w:fill="FFFFFF"/>
        </w:rPr>
        <w:tab/>
      </w:r>
      <w:r w:rsidR="00BE3B6C" w:rsidRPr="00BE3B6C">
        <w:rPr>
          <w:rFonts w:ascii="Garamond" w:hAnsi="Garamond"/>
          <w:color w:val="1E1E1E"/>
          <w:sz w:val="30"/>
          <w:szCs w:val="30"/>
          <w:shd w:val="clear" w:color="auto" w:fill="FFFFFF"/>
        </w:rPr>
        <w:t>The recommendations emphasise a strategic shift in REI for Pakistan, moving the focus from the East to the West, particularly towards the Central Asia-South Asia–1000 (CASA-1000) project and Afghanistan. This shift is in response to the current geopolitical climate, where collaboration with India appears unlikely.</w:t>
      </w:r>
    </w:p>
    <w:p w:rsidR="007B775A" w:rsidRPr="00BE3B6C" w:rsidRDefault="007B775A" w:rsidP="00BE3B6C">
      <w:pPr>
        <w:autoSpaceDE w:val="0"/>
        <w:autoSpaceDN w:val="0"/>
        <w:adjustRightInd w:val="0"/>
        <w:spacing w:after="0" w:line="240" w:lineRule="auto"/>
        <w:jc w:val="both"/>
        <w:rPr>
          <w:rFonts w:ascii="Garamond" w:hAnsi="Garamond"/>
          <w:color w:val="1E1E1E"/>
          <w:sz w:val="30"/>
          <w:szCs w:val="30"/>
          <w:shd w:val="clear" w:color="auto" w:fill="FFFFFF"/>
        </w:rPr>
      </w:pPr>
    </w:p>
    <w:p w:rsidR="00B4760D" w:rsidRDefault="00BE3B6C" w:rsidP="00BE3B6C">
      <w:pPr>
        <w:autoSpaceDE w:val="0"/>
        <w:autoSpaceDN w:val="0"/>
        <w:adjustRightInd w:val="0"/>
        <w:spacing w:after="0" w:line="240" w:lineRule="auto"/>
        <w:jc w:val="both"/>
        <w:rPr>
          <w:rFonts w:ascii="Garamond" w:hAnsi="Garamond"/>
          <w:color w:val="1E1E1E"/>
          <w:sz w:val="30"/>
          <w:szCs w:val="30"/>
          <w:shd w:val="clear" w:color="auto" w:fill="FFFFFF"/>
        </w:rPr>
      </w:pPr>
      <w:r w:rsidRPr="00BE3B6C">
        <w:rPr>
          <w:rFonts w:ascii="Garamond" w:hAnsi="Garamond"/>
          <w:color w:val="1E1E1E"/>
          <w:sz w:val="30"/>
          <w:szCs w:val="30"/>
          <w:shd w:val="clear" w:color="auto" w:fill="FFFFFF"/>
        </w:rPr>
        <w:tab/>
        <w:t xml:space="preserve">Pakistan should continue engaging with the South Asia Regional Initiative for Energy Integration (SARI/EI), SAARC, and ESCAP to explore fair and </w:t>
      </w:r>
      <w:r w:rsidRPr="00BE3B6C">
        <w:rPr>
          <w:rFonts w:ascii="Garamond" w:hAnsi="Garamond"/>
          <w:color w:val="1E1E1E"/>
          <w:sz w:val="30"/>
          <w:szCs w:val="30"/>
          <w:shd w:val="clear" w:color="auto" w:fill="FFFFFF"/>
        </w:rPr>
        <w:lastRenderedPageBreak/>
        <w:t>reliable CBET options.  The emphasis should be on fostering connections with Central Asia through the CASA-1000 project, which aims to facilitate electricity trade from Tajikistan and Kyrgyzstan to Pakistan and Afghanistan.</w:t>
      </w:r>
    </w:p>
    <w:p w:rsidR="007B775A" w:rsidRDefault="007B775A" w:rsidP="00BE3B6C">
      <w:pPr>
        <w:autoSpaceDE w:val="0"/>
        <w:autoSpaceDN w:val="0"/>
        <w:adjustRightInd w:val="0"/>
        <w:spacing w:after="0" w:line="240" w:lineRule="auto"/>
        <w:jc w:val="both"/>
        <w:rPr>
          <w:rFonts w:ascii="Garamond" w:hAnsi="Garamond"/>
          <w:color w:val="1E1E1E"/>
          <w:sz w:val="30"/>
          <w:szCs w:val="30"/>
          <w:shd w:val="clear" w:color="auto" w:fill="FFFFFF"/>
        </w:rPr>
      </w:pPr>
    </w:p>
    <w:p w:rsidR="00580924" w:rsidRDefault="007B775A" w:rsidP="00580924">
      <w:pPr>
        <w:autoSpaceDE w:val="0"/>
        <w:autoSpaceDN w:val="0"/>
        <w:adjustRightInd w:val="0"/>
        <w:spacing w:after="0" w:line="240" w:lineRule="auto"/>
        <w:jc w:val="both"/>
        <w:rPr>
          <w:rFonts w:ascii="Garamond" w:hAnsi="Garamond"/>
          <w:color w:val="1E1E1E"/>
          <w:sz w:val="30"/>
          <w:szCs w:val="30"/>
          <w:shd w:val="clear" w:color="auto" w:fill="FFFFFF"/>
        </w:rPr>
      </w:pPr>
      <w:r>
        <w:rPr>
          <w:rFonts w:ascii="Garamond" w:hAnsi="Garamond"/>
          <w:color w:val="1E1E1E"/>
          <w:sz w:val="30"/>
          <w:szCs w:val="30"/>
          <w:shd w:val="clear" w:color="auto" w:fill="FFFFFF"/>
        </w:rPr>
        <w:tab/>
      </w:r>
      <w:r w:rsidR="00580924" w:rsidRPr="00580924">
        <w:rPr>
          <w:rFonts w:ascii="Garamond" w:hAnsi="Garamond"/>
          <w:color w:val="1E1E1E"/>
          <w:sz w:val="30"/>
          <w:szCs w:val="30"/>
          <w:shd w:val="clear" w:color="auto" w:fill="FFFFFF"/>
        </w:rPr>
        <w:t>It is recommended that the Ministry of Foreign Affairs (MoFA) and the Ministry of Energy (MoE) work with the World Bank to release funds essential for CASA-1000 and engage with the Government of the Islamic Emirate of Afghanistan (IEA) to facilitate the development of transmission lines.</w:t>
      </w:r>
    </w:p>
    <w:p w:rsidR="007B775A" w:rsidRPr="00580924" w:rsidRDefault="007B775A" w:rsidP="00580924">
      <w:pPr>
        <w:autoSpaceDE w:val="0"/>
        <w:autoSpaceDN w:val="0"/>
        <w:adjustRightInd w:val="0"/>
        <w:spacing w:after="0" w:line="240" w:lineRule="auto"/>
        <w:jc w:val="both"/>
        <w:rPr>
          <w:rFonts w:ascii="Garamond" w:hAnsi="Garamond"/>
          <w:color w:val="1E1E1E"/>
          <w:sz w:val="30"/>
          <w:szCs w:val="30"/>
          <w:shd w:val="clear" w:color="auto" w:fill="FFFFFF"/>
        </w:rPr>
      </w:pPr>
    </w:p>
    <w:p w:rsidR="00580924" w:rsidRDefault="00580924" w:rsidP="00580924">
      <w:pPr>
        <w:autoSpaceDE w:val="0"/>
        <w:autoSpaceDN w:val="0"/>
        <w:adjustRightInd w:val="0"/>
        <w:spacing w:after="0" w:line="240" w:lineRule="auto"/>
        <w:jc w:val="both"/>
        <w:rPr>
          <w:rFonts w:ascii="Garamond" w:hAnsi="Garamond"/>
          <w:color w:val="1E1E1E"/>
          <w:sz w:val="30"/>
          <w:szCs w:val="30"/>
          <w:shd w:val="clear" w:color="auto" w:fill="FFFFFF"/>
        </w:rPr>
      </w:pPr>
      <w:r w:rsidRPr="00580924">
        <w:rPr>
          <w:rFonts w:ascii="Garamond" w:hAnsi="Garamond"/>
          <w:color w:val="1E1E1E"/>
          <w:sz w:val="30"/>
          <w:szCs w:val="30"/>
          <w:shd w:val="clear" w:color="auto" w:fill="FFFFFF"/>
        </w:rPr>
        <w:tab/>
        <w:t>A vital aspect of these recommendations is to utilise Pakistan’s reduced winter electricity demand by supplying surplus energy to Afghan provinces that experience a spike in demand during the colder months. This approach not only aids Afghanistan but also strengthens Pakistan’s role in regional energy dynamics.</w:t>
      </w:r>
    </w:p>
    <w:p w:rsidR="007B775A" w:rsidRDefault="007B775A" w:rsidP="007D051D">
      <w:pPr>
        <w:autoSpaceDE w:val="0"/>
        <w:autoSpaceDN w:val="0"/>
        <w:adjustRightInd w:val="0"/>
        <w:spacing w:after="0" w:line="240" w:lineRule="auto"/>
        <w:jc w:val="both"/>
        <w:rPr>
          <w:rFonts w:ascii="Garamond" w:hAnsi="Garamond"/>
          <w:color w:val="1E1E1E"/>
          <w:sz w:val="30"/>
          <w:szCs w:val="30"/>
          <w:shd w:val="clear" w:color="auto" w:fill="FFFFFF"/>
        </w:rPr>
      </w:pPr>
    </w:p>
    <w:p w:rsidR="007D051D" w:rsidRPr="007D051D" w:rsidRDefault="007B775A" w:rsidP="007D051D">
      <w:pPr>
        <w:autoSpaceDE w:val="0"/>
        <w:autoSpaceDN w:val="0"/>
        <w:adjustRightInd w:val="0"/>
        <w:spacing w:after="0" w:line="240" w:lineRule="auto"/>
        <w:jc w:val="both"/>
        <w:rPr>
          <w:rFonts w:ascii="Garamond" w:hAnsi="Garamond"/>
          <w:color w:val="1E1E1E"/>
          <w:sz w:val="30"/>
          <w:szCs w:val="30"/>
          <w:shd w:val="clear" w:color="auto" w:fill="FFFFFF"/>
        </w:rPr>
      </w:pPr>
      <w:r>
        <w:rPr>
          <w:rFonts w:ascii="Garamond" w:hAnsi="Garamond"/>
          <w:color w:val="1E1E1E"/>
          <w:sz w:val="30"/>
          <w:szCs w:val="30"/>
          <w:shd w:val="clear" w:color="auto" w:fill="FFFFFF"/>
        </w:rPr>
        <w:tab/>
      </w:r>
      <w:r w:rsidR="007D051D" w:rsidRPr="007D051D">
        <w:rPr>
          <w:rFonts w:ascii="Garamond" w:hAnsi="Garamond"/>
          <w:color w:val="1E1E1E"/>
          <w:sz w:val="30"/>
          <w:szCs w:val="30"/>
          <w:shd w:val="clear" w:color="auto" w:fill="FFFFFF"/>
        </w:rPr>
        <w:t>MoFA is also advised to diplomatically engage with Muslim countries and the United Nations to raise awareness about the challenges of electricity scarcity during winter in the region and to secure funding and support for developing transmission infrastructure and CBET.</w:t>
      </w:r>
    </w:p>
    <w:p w:rsidR="007B775A" w:rsidRDefault="007B775A" w:rsidP="007D051D">
      <w:pPr>
        <w:autoSpaceDE w:val="0"/>
        <w:autoSpaceDN w:val="0"/>
        <w:adjustRightInd w:val="0"/>
        <w:spacing w:after="0" w:line="240" w:lineRule="auto"/>
        <w:jc w:val="both"/>
        <w:rPr>
          <w:rFonts w:ascii="Garamond" w:hAnsi="Garamond"/>
          <w:color w:val="1E1E1E"/>
          <w:sz w:val="30"/>
          <w:szCs w:val="30"/>
          <w:shd w:val="clear" w:color="auto" w:fill="FFFFFF"/>
        </w:rPr>
      </w:pPr>
    </w:p>
    <w:p w:rsidR="007D051D" w:rsidRDefault="007D051D" w:rsidP="007D051D">
      <w:pPr>
        <w:autoSpaceDE w:val="0"/>
        <w:autoSpaceDN w:val="0"/>
        <w:adjustRightInd w:val="0"/>
        <w:spacing w:after="0" w:line="240" w:lineRule="auto"/>
        <w:jc w:val="both"/>
        <w:rPr>
          <w:rFonts w:ascii="Garamond" w:hAnsi="Garamond"/>
          <w:color w:val="1E1E1E"/>
          <w:sz w:val="30"/>
          <w:szCs w:val="30"/>
          <w:shd w:val="clear" w:color="auto" w:fill="FFFFFF"/>
        </w:rPr>
      </w:pPr>
      <w:r w:rsidRPr="007D051D">
        <w:rPr>
          <w:rFonts w:ascii="Garamond" w:hAnsi="Garamond"/>
          <w:color w:val="1E1E1E"/>
          <w:sz w:val="30"/>
          <w:szCs w:val="30"/>
          <w:shd w:val="clear" w:color="auto" w:fill="FFFFFF"/>
        </w:rPr>
        <w:tab/>
        <w:t>The recommendations urge the reinvigoration of the MoE (Power Division) and the China-Pakistan Economic Corridor (CPEC) Authority to expedite the completion of ongoing CPEC energy projects. This includes improving the accountability and efficiency systems within MoE (Power Division) and the Alternative Energy Development Board (AEDB), with a six-monthly review mechanism overseen by the National Security Division / Prime Minister’s Secretariat, and penalties for inefficiencies.</w:t>
      </w:r>
    </w:p>
    <w:p w:rsidR="007B775A" w:rsidRPr="007D051D" w:rsidRDefault="007B775A" w:rsidP="007D051D">
      <w:pPr>
        <w:autoSpaceDE w:val="0"/>
        <w:autoSpaceDN w:val="0"/>
        <w:adjustRightInd w:val="0"/>
        <w:spacing w:after="0" w:line="240" w:lineRule="auto"/>
        <w:jc w:val="both"/>
        <w:rPr>
          <w:rFonts w:ascii="Garamond" w:hAnsi="Garamond"/>
          <w:color w:val="1E1E1E"/>
          <w:sz w:val="30"/>
          <w:szCs w:val="30"/>
          <w:shd w:val="clear" w:color="auto" w:fill="FFFFFF"/>
        </w:rPr>
      </w:pPr>
    </w:p>
    <w:p w:rsidR="007D051D" w:rsidRDefault="007D051D" w:rsidP="007D051D">
      <w:pPr>
        <w:autoSpaceDE w:val="0"/>
        <w:autoSpaceDN w:val="0"/>
        <w:adjustRightInd w:val="0"/>
        <w:spacing w:after="0" w:line="240" w:lineRule="auto"/>
        <w:jc w:val="both"/>
        <w:rPr>
          <w:rFonts w:ascii="Garamond" w:hAnsi="Garamond"/>
          <w:color w:val="1E1E1E"/>
          <w:sz w:val="30"/>
          <w:szCs w:val="30"/>
          <w:shd w:val="clear" w:color="auto" w:fill="FFFFFF"/>
        </w:rPr>
      </w:pPr>
      <w:r w:rsidRPr="007D051D">
        <w:rPr>
          <w:rFonts w:ascii="Garamond" w:hAnsi="Garamond"/>
          <w:color w:val="1E1E1E"/>
          <w:sz w:val="30"/>
          <w:szCs w:val="30"/>
          <w:shd w:val="clear" w:color="auto" w:fill="FFFFFF"/>
        </w:rPr>
        <w:tab/>
        <w:t>Lastly, the MoE may be urged to prioritise clean Renewable Energy (RE) initiatives and seek funding and assistance from international bodies like the Green Climate Fund, established under the United Nations Framework Convention on Climate Change (COP-17). This approach aims to enhance Pakistan’s energy security and contribute to global efforts to combat climate change.</w:t>
      </w:r>
    </w:p>
    <w:p w:rsidR="007B775A" w:rsidRPr="007D051D" w:rsidRDefault="007B775A" w:rsidP="007D051D">
      <w:pPr>
        <w:autoSpaceDE w:val="0"/>
        <w:autoSpaceDN w:val="0"/>
        <w:adjustRightInd w:val="0"/>
        <w:spacing w:after="0" w:line="240" w:lineRule="auto"/>
        <w:jc w:val="both"/>
        <w:rPr>
          <w:rFonts w:ascii="Garamond" w:hAnsi="Garamond"/>
          <w:color w:val="1E1E1E"/>
          <w:sz w:val="30"/>
          <w:szCs w:val="30"/>
          <w:shd w:val="clear" w:color="auto" w:fill="FFFFFF"/>
        </w:rPr>
      </w:pPr>
      <w:bookmarkStart w:id="0" w:name="_GoBack"/>
      <w:bookmarkEnd w:id="0"/>
    </w:p>
    <w:p w:rsidR="007D051D" w:rsidRDefault="007D051D" w:rsidP="007D051D">
      <w:pPr>
        <w:autoSpaceDE w:val="0"/>
        <w:autoSpaceDN w:val="0"/>
        <w:adjustRightInd w:val="0"/>
        <w:spacing w:after="0" w:line="240" w:lineRule="auto"/>
        <w:jc w:val="both"/>
        <w:rPr>
          <w:rFonts w:ascii="Garamond" w:hAnsi="Garamond"/>
          <w:color w:val="1E1E1E"/>
          <w:sz w:val="30"/>
          <w:szCs w:val="30"/>
          <w:shd w:val="clear" w:color="auto" w:fill="FFFFFF"/>
        </w:rPr>
      </w:pPr>
      <w:r w:rsidRPr="007D051D">
        <w:rPr>
          <w:rFonts w:ascii="Garamond" w:hAnsi="Garamond"/>
          <w:color w:val="1E1E1E"/>
          <w:sz w:val="30"/>
          <w:szCs w:val="30"/>
          <w:shd w:val="clear" w:color="auto" w:fill="FFFFFF"/>
        </w:rPr>
        <w:tab/>
        <w:t xml:space="preserve">A comprehensive and forward-looking strategy is imperative to harness the potential of REI and enhance Pakistan's energy security. This strategy should prioritise diversifying energy sources, expanding CBET, and fostering </w:t>
      </w:r>
      <w:r w:rsidRPr="007D051D">
        <w:rPr>
          <w:rFonts w:ascii="Garamond" w:hAnsi="Garamond"/>
          <w:color w:val="1E1E1E"/>
          <w:sz w:val="30"/>
          <w:szCs w:val="30"/>
          <w:shd w:val="clear" w:color="auto" w:fill="FFFFFF"/>
        </w:rPr>
        <w:lastRenderedPageBreak/>
        <w:t>collaboration with neighbouring countries. Pakistan can significantly bolster its energy independence by focusing on renewable energy and leveraging regional partnerships, contributing to sustainable economic growth and national security. This strategic direction is vital for Pakistan's energy sector and its broader socio-economic development and resilience in the face of global energy challenges.</w:t>
      </w:r>
    </w:p>
    <w:p w:rsidR="00B4760D" w:rsidRDefault="00B4760D" w:rsidP="00CD01EF">
      <w:pPr>
        <w:autoSpaceDE w:val="0"/>
        <w:autoSpaceDN w:val="0"/>
        <w:adjustRightInd w:val="0"/>
        <w:spacing w:after="0" w:line="240" w:lineRule="auto"/>
        <w:rPr>
          <w:rFonts w:ascii="Garamond" w:hAnsi="Garamond"/>
          <w:color w:val="1E1E1E"/>
          <w:sz w:val="30"/>
          <w:szCs w:val="30"/>
          <w:shd w:val="clear" w:color="auto" w:fill="FFFFFF"/>
          <w:lang w:val="en-GB"/>
        </w:rPr>
      </w:pPr>
    </w:p>
    <w:p w:rsidR="00CD01EF" w:rsidRDefault="00CD01EF" w:rsidP="00CD01EF">
      <w:pPr>
        <w:autoSpaceDE w:val="0"/>
        <w:autoSpaceDN w:val="0"/>
        <w:adjustRightInd w:val="0"/>
        <w:spacing w:after="0" w:line="240" w:lineRule="auto"/>
        <w:jc w:val="both"/>
        <w:rPr>
          <w:rFonts w:ascii="Garamond" w:hAnsi="Garamond"/>
          <w:color w:val="1E1E1E"/>
          <w:sz w:val="30"/>
          <w:szCs w:val="30"/>
          <w:shd w:val="clear" w:color="auto" w:fill="FFFFFF"/>
          <w:lang w:val="en-GB"/>
        </w:rPr>
      </w:pPr>
    </w:p>
    <w:p w:rsidR="00BF3CCC" w:rsidRPr="00026CB8" w:rsidRDefault="00BF3CCC" w:rsidP="00CD01EF">
      <w:pPr>
        <w:autoSpaceDE w:val="0"/>
        <w:autoSpaceDN w:val="0"/>
        <w:adjustRightInd w:val="0"/>
        <w:spacing w:after="0" w:line="240" w:lineRule="auto"/>
        <w:jc w:val="both"/>
        <w:rPr>
          <w:rFonts w:cstheme="minorHAnsi"/>
          <w:color w:val="000000" w:themeColor="text1"/>
          <w:sz w:val="28"/>
          <w:szCs w:val="28"/>
          <w:lang w:val="en-GB"/>
        </w:rPr>
      </w:pPr>
      <w:r w:rsidRPr="00026CB8">
        <w:rPr>
          <w:rFonts w:cstheme="minorHAnsi"/>
          <w:b/>
          <w:bCs/>
          <w:color w:val="000000" w:themeColor="text1"/>
          <w:sz w:val="28"/>
          <w:szCs w:val="28"/>
          <w:lang w:val="en-GB"/>
        </w:rPr>
        <w:t xml:space="preserve">Disclaimer: </w:t>
      </w:r>
      <w:r w:rsidRPr="00026CB8">
        <w:rPr>
          <w:rFonts w:cstheme="minorHAnsi"/>
          <w:color w:val="000000" w:themeColor="text1"/>
          <w:sz w:val="24"/>
          <w:szCs w:val="24"/>
          <w:lang w:val="en-GB"/>
        </w:rPr>
        <w:t xml:space="preserve">The views expressed in this Insight are of the author(s) alone and do not necessarily reflect </w:t>
      </w:r>
      <w:r w:rsidR="00346C0E" w:rsidRPr="00026CB8">
        <w:rPr>
          <w:rFonts w:cstheme="minorHAnsi"/>
          <w:color w:val="000000" w:themeColor="text1"/>
          <w:sz w:val="24"/>
          <w:szCs w:val="24"/>
          <w:lang w:val="en-GB"/>
        </w:rPr>
        <w:t xml:space="preserve">the </w:t>
      </w:r>
      <w:r w:rsidRPr="00026CB8">
        <w:rPr>
          <w:rFonts w:cstheme="minorHAnsi"/>
          <w:color w:val="000000" w:themeColor="text1"/>
          <w:sz w:val="24"/>
          <w:szCs w:val="24"/>
          <w:lang w:val="en-GB"/>
        </w:rPr>
        <w:t>policy of NDU.</w:t>
      </w:r>
    </w:p>
    <w:p w:rsidR="00BF3CCC" w:rsidRPr="00026CB8" w:rsidRDefault="00BF3CCC" w:rsidP="00026CB8">
      <w:pPr>
        <w:jc w:val="both"/>
        <w:rPr>
          <w:color w:val="000000" w:themeColor="text1"/>
          <w:sz w:val="28"/>
          <w:szCs w:val="28"/>
          <w:lang w:val="en-GB"/>
        </w:rPr>
      </w:pPr>
    </w:p>
    <w:sectPr w:rsidR="00BF3CCC" w:rsidRPr="00026CB8" w:rsidSect="009F437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5E8D" w:rsidRDefault="000A5E8D" w:rsidP="00E226B7">
      <w:pPr>
        <w:spacing w:after="0" w:line="240" w:lineRule="auto"/>
      </w:pPr>
      <w:r>
        <w:separator/>
      </w:r>
    </w:p>
  </w:endnote>
  <w:endnote w:type="continuationSeparator" w:id="1">
    <w:p w:rsidR="000A5E8D" w:rsidRDefault="000A5E8D" w:rsidP="00E226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5E8D" w:rsidRDefault="000A5E8D" w:rsidP="00E226B7">
      <w:pPr>
        <w:spacing w:after="0" w:line="240" w:lineRule="auto"/>
      </w:pPr>
      <w:r>
        <w:separator/>
      </w:r>
    </w:p>
  </w:footnote>
  <w:footnote w:type="continuationSeparator" w:id="1">
    <w:p w:rsidR="000A5E8D" w:rsidRDefault="000A5E8D" w:rsidP="00E226B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9259DE"/>
    <w:multiLevelType w:val="hybridMultilevel"/>
    <w:tmpl w:val="CA1E5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B2C4165"/>
    <w:multiLevelType w:val="hybridMultilevel"/>
    <w:tmpl w:val="EA182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2trCwMLS0NDQwMjMxtDRT0lEKTi0uzszPAykwrQUAvg2QHCwAAAA="/>
  </w:docVars>
  <w:rsids>
    <w:rsidRoot w:val="00543D73"/>
    <w:rsid w:val="00011890"/>
    <w:rsid w:val="00026CB8"/>
    <w:rsid w:val="00033DAF"/>
    <w:rsid w:val="00063975"/>
    <w:rsid w:val="00083AA4"/>
    <w:rsid w:val="000877BB"/>
    <w:rsid w:val="00095488"/>
    <w:rsid w:val="00095C56"/>
    <w:rsid w:val="000A5E8D"/>
    <w:rsid w:val="000B2EF3"/>
    <w:rsid w:val="000B41CD"/>
    <w:rsid w:val="000C4B98"/>
    <w:rsid w:val="000D4BBF"/>
    <w:rsid w:val="000D4DEB"/>
    <w:rsid w:val="000E584C"/>
    <w:rsid w:val="000F24BD"/>
    <w:rsid w:val="00123928"/>
    <w:rsid w:val="001364FF"/>
    <w:rsid w:val="001C2922"/>
    <w:rsid w:val="001C546A"/>
    <w:rsid w:val="001D043F"/>
    <w:rsid w:val="001E1AB1"/>
    <w:rsid w:val="002018F1"/>
    <w:rsid w:val="002106BE"/>
    <w:rsid w:val="00210F4D"/>
    <w:rsid w:val="00211E98"/>
    <w:rsid w:val="00231C08"/>
    <w:rsid w:val="00270AEF"/>
    <w:rsid w:val="002736CC"/>
    <w:rsid w:val="002C4E34"/>
    <w:rsid w:val="002D3911"/>
    <w:rsid w:val="002E7E83"/>
    <w:rsid w:val="002F4D55"/>
    <w:rsid w:val="00321FF1"/>
    <w:rsid w:val="0034662F"/>
    <w:rsid w:val="00346C0E"/>
    <w:rsid w:val="00347DFC"/>
    <w:rsid w:val="003502ED"/>
    <w:rsid w:val="003703DB"/>
    <w:rsid w:val="00390448"/>
    <w:rsid w:val="003925FE"/>
    <w:rsid w:val="003D1ACB"/>
    <w:rsid w:val="003E131C"/>
    <w:rsid w:val="003E31C1"/>
    <w:rsid w:val="003F1710"/>
    <w:rsid w:val="0041044D"/>
    <w:rsid w:val="00444060"/>
    <w:rsid w:val="004C4478"/>
    <w:rsid w:val="004D23B2"/>
    <w:rsid w:val="004D6167"/>
    <w:rsid w:val="004D70B0"/>
    <w:rsid w:val="004E5624"/>
    <w:rsid w:val="004E6210"/>
    <w:rsid w:val="0050595E"/>
    <w:rsid w:val="00505AE6"/>
    <w:rsid w:val="00507A14"/>
    <w:rsid w:val="00511468"/>
    <w:rsid w:val="00513B01"/>
    <w:rsid w:val="00514A13"/>
    <w:rsid w:val="005252E3"/>
    <w:rsid w:val="00543D73"/>
    <w:rsid w:val="00546B5B"/>
    <w:rsid w:val="00550912"/>
    <w:rsid w:val="00580924"/>
    <w:rsid w:val="0059114A"/>
    <w:rsid w:val="005B2D15"/>
    <w:rsid w:val="005D45BD"/>
    <w:rsid w:val="005E3886"/>
    <w:rsid w:val="00612B52"/>
    <w:rsid w:val="00615740"/>
    <w:rsid w:val="00645254"/>
    <w:rsid w:val="0064793D"/>
    <w:rsid w:val="00654349"/>
    <w:rsid w:val="00657CC1"/>
    <w:rsid w:val="00662921"/>
    <w:rsid w:val="006653F0"/>
    <w:rsid w:val="00675302"/>
    <w:rsid w:val="00676A5B"/>
    <w:rsid w:val="0068082B"/>
    <w:rsid w:val="00687AEB"/>
    <w:rsid w:val="00690C90"/>
    <w:rsid w:val="006B6EDA"/>
    <w:rsid w:val="006B6FD9"/>
    <w:rsid w:val="006C51D2"/>
    <w:rsid w:val="007121BF"/>
    <w:rsid w:val="007171A2"/>
    <w:rsid w:val="00724D82"/>
    <w:rsid w:val="0072778C"/>
    <w:rsid w:val="00730706"/>
    <w:rsid w:val="007334AC"/>
    <w:rsid w:val="0073787F"/>
    <w:rsid w:val="007449E0"/>
    <w:rsid w:val="0076683F"/>
    <w:rsid w:val="00771B14"/>
    <w:rsid w:val="007977CC"/>
    <w:rsid w:val="007A5069"/>
    <w:rsid w:val="007B6F67"/>
    <w:rsid w:val="007B775A"/>
    <w:rsid w:val="007D051D"/>
    <w:rsid w:val="007E37D8"/>
    <w:rsid w:val="007F10D4"/>
    <w:rsid w:val="007F6F28"/>
    <w:rsid w:val="008138BB"/>
    <w:rsid w:val="00821BCE"/>
    <w:rsid w:val="00832AB8"/>
    <w:rsid w:val="00837745"/>
    <w:rsid w:val="0086630E"/>
    <w:rsid w:val="00871ACA"/>
    <w:rsid w:val="00875B37"/>
    <w:rsid w:val="008A4B3E"/>
    <w:rsid w:val="008B2D90"/>
    <w:rsid w:val="008D4EC3"/>
    <w:rsid w:val="00903F0F"/>
    <w:rsid w:val="0090625C"/>
    <w:rsid w:val="00936CBA"/>
    <w:rsid w:val="00943951"/>
    <w:rsid w:val="009638FC"/>
    <w:rsid w:val="00964E7C"/>
    <w:rsid w:val="009B09BE"/>
    <w:rsid w:val="009E09FD"/>
    <w:rsid w:val="009F3A66"/>
    <w:rsid w:val="009F437E"/>
    <w:rsid w:val="00A22DEE"/>
    <w:rsid w:val="00A3671E"/>
    <w:rsid w:val="00A36905"/>
    <w:rsid w:val="00A40955"/>
    <w:rsid w:val="00A85695"/>
    <w:rsid w:val="00A92CB9"/>
    <w:rsid w:val="00AB0616"/>
    <w:rsid w:val="00AD571F"/>
    <w:rsid w:val="00AD661F"/>
    <w:rsid w:val="00AF1F23"/>
    <w:rsid w:val="00B21570"/>
    <w:rsid w:val="00B4760D"/>
    <w:rsid w:val="00B80849"/>
    <w:rsid w:val="00B878E4"/>
    <w:rsid w:val="00B919CA"/>
    <w:rsid w:val="00BC39C2"/>
    <w:rsid w:val="00BE3B6C"/>
    <w:rsid w:val="00BE76FF"/>
    <w:rsid w:val="00BF3CCC"/>
    <w:rsid w:val="00BF69D7"/>
    <w:rsid w:val="00C05049"/>
    <w:rsid w:val="00C056D5"/>
    <w:rsid w:val="00C12BE4"/>
    <w:rsid w:val="00C1716B"/>
    <w:rsid w:val="00C23F91"/>
    <w:rsid w:val="00C40A6B"/>
    <w:rsid w:val="00C4721C"/>
    <w:rsid w:val="00C90C8D"/>
    <w:rsid w:val="00C91FC8"/>
    <w:rsid w:val="00CA0C8E"/>
    <w:rsid w:val="00CA2623"/>
    <w:rsid w:val="00CB72BA"/>
    <w:rsid w:val="00CD01EF"/>
    <w:rsid w:val="00CE5796"/>
    <w:rsid w:val="00CF406F"/>
    <w:rsid w:val="00CF6362"/>
    <w:rsid w:val="00D003A6"/>
    <w:rsid w:val="00D261C5"/>
    <w:rsid w:val="00D346BD"/>
    <w:rsid w:val="00D41AAB"/>
    <w:rsid w:val="00D51265"/>
    <w:rsid w:val="00D51B49"/>
    <w:rsid w:val="00D5755C"/>
    <w:rsid w:val="00D81686"/>
    <w:rsid w:val="00D8699B"/>
    <w:rsid w:val="00DA0202"/>
    <w:rsid w:val="00DB46C5"/>
    <w:rsid w:val="00DC1489"/>
    <w:rsid w:val="00DC5D2E"/>
    <w:rsid w:val="00DE0DF7"/>
    <w:rsid w:val="00E02C59"/>
    <w:rsid w:val="00E15F4C"/>
    <w:rsid w:val="00E226B7"/>
    <w:rsid w:val="00E8656A"/>
    <w:rsid w:val="00EC0859"/>
    <w:rsid w:val="00EC36B5"/>
    <w:rsid w:val="00ED670F"/>
    <w:rsid w:val="00ED73C8"/>
    <w:rsid w:val="00EE3539"/>
    <w:rsid w:val="00F45BE3"/>
    <w:rsid w:val="00F97292"/>
    <w:rsid w:val="00FA6967"/>
    <w:rsid w:val="00FA6E29"/>
    <w:rsid w:val="00FB10C5"/>
    <w:rsid w:val="00FB2439"/>
    <w:rsid w:val="00FB3F94"/>
    <w:rsid w:val="00FC6B23"/>
    <w:rsid w:val="00FD04A1"/>
    <w:rsid w:val="00FD6AC1"/>
    <w:rsid w:val="00FD70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3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26B7"/>
    <w:rPr>
      <w:rFonts w:ascii="Times New Roman" w:hAnsi="Times New Roman" w:cs="Times New Roman"/>
      <w:sz w:val="24"/>
      <w:szCs w:val="24"/>
    </w:rPr>
  </w:style>
  <w:style w:type="paragraph" w:styleId="EndnoteText">
    <w:name w:val="endnote text"/>
    <w:basedOn w:val="Normal"/>
    <w:link w:val="EndnoteTextChar"/>
    <w:uiPriority w:val="99"/>
    <w:semiHidden/>
    <w:unhideWhenUsed/>
    <w:rsid w:val="00E226B7"/>
    <w:pPr>
      <w:spacing w:after="0" w:line="240" w:lineRule="auto"/>
    </w:pPr>
    <w:rPr>
      <w:rFonts w:ascii="Arial" w:eastAsia="Arial" w:hAnsi="Arial" w:cs="Arial"/>
      <w:kern w:val="0"/>
      <w:sz w:val="20"/>
      <w:szCs w:val="20"/>
    </w:rPr>
  </w:style>
  <w:style w:type="character" w:customStyle="1" w:styleId="EndnoteTextChar">
    <w:name w:val="Endnote Text Char"/>
    <w:basedOn w:val="DefaultParagraphFont"/>
    <w:link w:val="EndnoteText"/>
    <w:uiPriority w:val="99"/>
    <w:semiHidden/>
    <w:rsid w:val="00E226B7"/>
    <w:rPr>
      <w:rFonts w:ascii="Arial" w:eastAsia="Arial" w:hAnsi="Arial" w:cs="Arial"/>
      <w:kern w:val="0"/>
      <w:sz w:val="20"/>
      <w:szCs w:val="20"/>
    </w:rPr>
  </w:style>
  <w:style w:type="character" w:styleId="EndnoteReference">
    <w:name w:val="endnote reference"/>
    <w:basedOn w:val="DefaultParagraphFont"/>
    <w:uiPriority w:val="99"/>
    <w:semiHidden/>
    <w:unhideWhenUsed/>
    <w:rsid w:val="00E226B7"/>
    <w:rPr>
      <w:vertAlign w:val="superscript"/>
    </w:rPr>
  </w:style>
  <w:style w:type="character" w:styleId="Hyperlink">
    <w:name w:val="Hyperlink"/>
    <w:basedOn w:val="DefaultParagraphFont"/>
    <w:uiPriority w:val="99"/>
    <w:unhideWhenUsed/>
    <w:rsid w:val="004D23B2"/>
    <w:rPr>
      <w:color w:val="0563C1" w:themeColor="hyperlink"/>
      <w:u w:val="single"/>
    </w:rPr>
  </w:style>
  <w:style w:type="character" w:customStyle="1" w:styleId="UnresolvedMention">
    <w:name w:val="Unresolved Mention"/>
    <w:basedOn w:val="DefaultParagraphFont"/>
    <w:uiPriority w:val="99"/>
    <w:semiHidden/>
    <w:unhideWhenUsed/>
    <w:rsid w:val="004D23B2"/>
    <w:rPr>
      <w:color w:val="605E5C"/>
      <w:shd w:val="clear" w:color="auto" w:fill="E1DFDD"/>
    </w:rPr>
  </w:style>
  <w:style w:type="paragraph" w:styleId="ListParagraph">
    <w:name w:val="List Paragraph"/>
    <w:basedOn w:val="Normal"/>
    <w:uiPriority w:val="34"/>
    <w:qFormat/>
    <w:rsid w:val="00D5755C"/>
    <w:pPr>
      <w:ind w:left="720"/>
      <w:contextualSpacing/>
    </w:pPr>
  </w:style>
  <w:style w:type="paragraph" w:styleId="BalloonText">
    <w:name w:val="Balloon Text"/>
    <w:basedOn w:val="Normal"/>
    <w:link w:val="BalloonTextChar"/>
    <w:uiPriority w:val="99"/>
    <w:semiHidden/>
    <w:unhideWhenUsed/>
    <w:rsid w:val="00D575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755C"/>
    <w:rPr>
      <w:rFonts w:ascii="Tahoma" w:hAnsi="Tahoma" w:cs="Tahoma"/>
      <w:sz w:val="16"/>
      <w:szCs w:val="16"/>
    </w:rPr>
  </w:style>
  <w:style w:type="paragraph" w:styleId="Caption">
    <w:name w:val="caption"/>
    <w:basedOn w:val="Normal"/>
    <w:next w:val="Normal"/>
    <w:uiPriority w:val="35"/>
    <w:unhideWhenUsed/>
    <w:qFormat/>
    <w:rsid w:val="001C2922"/>
    <w:pPr>
      <w:spacing w:after="200" w:line="240" w:lineRule="auto"/>
    </w:pPr>
    <w:rPr>
      <w:i/>
      <w:iCs/>
      <w:color w:val="44546A" w:themeColor="text2"/>
      <w:kern w:val="0"/>
      <w:sz w:val="18"/>
      <w:szCs w:val="18"/>
      <w:lang w:val="en-GB"/>
    </w:rPr>
  </w:style>
  <w:style w:type="table" w:styleId="TableGrid">
    <w:name w:val="Table Grid"/>
    <w:basedOn w:val="TableNormal"/>
    <w:uiPriority w:val="39"/>
    <w:rsid w:val="00C1716B"/>
    <w:pPr>
      <w:spacing w:after="0"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26B7"/>
    <w:rPr>
      <w:rFonts w:ascii="Times New Roman" w:hAnsi="Times New Roman" w:cs="Times New Roman"/>
      <w:sz w:val="24"/>
      <w:szCs w:val="24"/>
    </w:rPr>
  </w:style>
  <w:style w:type="paragraph" w:styleId="EndnoteText">
    <w:name w:val="endnote text"/>
    <w:basedOn w:val="Normal"/>
    <w:link w:val="EndnoteTextChar"/>
    <w:uiPriority w:val="99"/>
    <w:semiHidden/>
    <w:unhideWhenUsed/>
    <w:rsid w:val="00E226B7"/>
    <w:pPr>
      <w:spacing w:after="0" w:line="240" w:lineRule="auto"/>
    </w:pPr>
    <w:rPr>
      <w:rFonts w:ascii="Arial" w:eastAsia="Arial" w:hAnsi="Arial" w:cs="Arial"/>
      <w:kern w:val="0"/>
      <w:sz w:val="20"/>
      <w:szCs w:val="20"/>
      <w14:ligatures w14:val="none"/>
    </w:rPr>
  </w:style>
  <w:style w:type="character" w:customStyle="1" w:styleId="EndnoteTextChar">
    <w:name w:val="Endnote Text Char"/>
    <w:basedOn w:val="DefaultParagraphFont"/>
    <w:link w:val="EndnoteText"/>
    <w:uiPriority w:val="99"/>
    <w:semiHidden/>
    <w:rsid w:val="00E226B7"/>
    <w:rPr>
      <w:rFonts w:ascii="Arial" w:eastAsia="Arial" w:hAnsi="Arial" w:cs="Arial"/>
      <w:kern w:val="0"/>
      <w:sz w:val="20"/>
      <w:szCs w:val="20"/>
      <w14:ligatures w14:val="none"/>
    </w:rPr>
  </w:style>
  <w:style w:type="character" w:styleId="EndnoteReference">
    <w:name w:val="endnote reference"/>
    <w:basedOn w:val="DefaultParagraphFont"/>
    <w:uiPriority w:val="99"/>
    <w:semiHidden/>
    <w:unhideWhenUsed/>
    <w:rsid w:val="00E226B7"/>
    <w:rPr>
      <w:vertAlign w:val="superscript"/>
    </w:rPr>
  </w:style>
  <w:style w:type="character" w:styleId="Hyperlink">
    <w:name w:val="Hyperlink"/>
    <w:basedOn w:val="DefaultParagraphFont"/>
    <w:uiPriority w:val="99"/>
    <w:unhideWhenUsed/>
    <w:rsid w:val="004D23B2"/>
    <w:rPr>
      <w:color w:val="0563C1" w:themeColor="hyperlink"/>
      <w:u w:val="single"/>
    </w:rPr>
  </w:style>
  <w:style w:type="character" w:customStyle="1" w:styleId="UnresolvedMention">
    <w:name w:val="Unresolved Mention"/>
    <w:basedOn w:val="DefaultParagraphFont"/>
    <w:uiPriority w:val="99"/>
    <w:semiHidden/>
    <w:unhideWhenUsed/>
    <w:rsid w:val="004D23B2"/>
    <w:rPr>
      <w:color w:val="605E5C"/>
      <w:shd w:val="clear" w:color="auto" w:fill="E1DFDD"/>
    </w:rPr>
  </w:style>
  <w:style w:type="paragraph" w:styleId="ListParagraph">
    <w:name w:val="List Paragraph"/>
    <w:basedOn w:val="Normal"/>
    <w:uiPriority w:val="34"/>
    <w:qFormat/>
    <w:rsid w:val="00D5755C"/>
    <w:pPr>
      <w:ind w:left="720"/>
      <w:contextualSpacing/>
    </w:pPr>
  </w:style>
  <w:style w:type="paragraph" w:styleId="BalloonText">
    <w:name w:val="Balloon Text"/>
    <w:basedOn w:val="Normal"/>
    <w:link w:val="BalloonTextChar"/>
    <w:uiPriority w:val="99"/>
    <w:semiHidden/>
    <w:unhideWhenUsed/>
    <w:rsid w:val="00D575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755C"/>
    <w:rPr>
      <w:rFonts w:ascii="Tahoma" w:hAnsi="Tahoma" w:cs="Tahoma"/>
      <w:sz w:val="16"/>
      <w:szCs w:val="16"/>
    </w:rPr>
  </w:style>
  <w:style w:type="paragraph" w:styleId="Caption">
    <w:name w:val="caption"/>
    <w:basedOn w:val="Normal"/>
    <w:next w:val="Normal"/>
    <w:uiPriority w:val="35"/>
    <w:unhideWhenUsed/>
    <w:qFormat/>
    <w:rsid w:val="001C2922"/>
    <w:pPr>
      <w:spacing w:after="200" w:line="240" w:lineRule="auto"/>
    </w:pPr>
    <w:rPr>
      <w:i/>
      <w:iCs/>
      <w:color w:val="44546A" w:themeColor="text2"/>
      <w:kern w:val="0"/>
      <w:sz w:val="18"/>
      <w:szCs w:val="18"/>
      <w:lang w:val="en-GB"/>
      <w14:ligatures w14:val="none"/>
    </w:rPr>
  </w:style>
  <w:style w:type="table" w:styleId="TableGrid">
    <w:name w:val="Table Grid"/>
    <w:basedOn w:val="TableNormal"/>
    <w:uiPriority w:val="39"/>
    <w:rsid w:val="00C1716B"/>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97001046">
      <w:bodyDiv w:val="1"/>
      <w:marLeft w:val="0"/>
      <w:marRight w:val="0"/>
      <w:marTop w:val="0"/>
      <w:marBottom w:val="0"/>
      <w:divBdr>
        <w:top w:val="none" w:sz="0" w:space="0" w:color="auto"/>
        <w:left w:val="none" w:sz="0" w:space="0" w:color="auto"/>
        <w:bottom w:val="none" w:sz="0" w:space="0" w:color="auto"/>
        <w:right w:val="none" w:sz="0" w:space="0" w:color="auto"/>
      </w:divBdr>
    </w:div>
    <w:div w:id="1178151422">
      <w:bodyDiv w:val="1"/>
      <w:marLeft w:val="0"/>
      <w:marRight w:val="0"/>
      <w:marTop w:val="0"/>
      <w:marBottom w:val="0"/>
      <w:divBdr>
        <w:top w:val="none" w:sz="0" w:space="0" w:color="auto"/>
        <w:left w:val="none" w:sz="0" w:space="0" w:color="auto"/>
        <w:bottom w:val="none" w:sz="0" w:space="0" w:color="auto"/>
        <w:right w:val="none" w:sz="0" w:space="0" w:color="auto"/>
      </w:divBdr>
    </w:div>
    <w:div w:id="1958557985">
      <w:bodyDiv w:val="1"/>
      <w:marLeft w:val="0"/>
      <w:marRight w:val="0"/>
      <w:marTop w:val="0"/>
      <w:marBottom w:val="0"/>
      <w:divBdr>
        <w:top w:val="none" w:sz="0" w:space="0" w:color="auto"/>
        <w:left w:val="none" w:sz="0" w:space="0" w:color="auto"/>
        <w:bottom w:val="none" w:sz="0" w:space="0" w:color="auto"/>
        <w:right w:val="none" w:sz="0" w:space="0" w:color="auto"/>
      </w:divBdr>
      <w:divsChild>
        <w:div w:id="19312807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Office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6.9096119741789058E-2"/>
          <c:y val="8.9475727298793536E-2"/>
          <c:w val="0.79737218813905908"/>
          <c:h val="0.65388139329806017"/>
        </c:manualLayout>
      </c:layout>
      <c:barChart>
        <c:barDir val="col"/>
        <c:grouping val="clustered"/>
        <c:ser>
          <c:idx val="0"/>
          <c:order val="0"/>
          <c:tx>
            <c:strRef>
              <c:f>Sheet1!$B$1</c:f>
              <c:strCache>
                <c:ptCount val="1"/>
                <c:pt idx="0">
                  <c:v>Series 1</c:v>
                </c:pt>
              </c:strCache>
            </c:strRef>
          </c:tx>
          <c:spPr>
            <a:solidFill>
              <a:srgbClr val="73A43C"/>
            </a:solidFill>
            <a:ln>
              <a:noFill/>
            </a:ln>
            <a:effectLst/>
          </c:spPr>
          <c:dLbls>
            <c:dLbl>
              <c:idx val="0"/>
              <c:layout>
                <c:manualLayout>
                  <c:x val="0"/>
                  <c:y val="2.2325150532654006E-2"/>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F56B-4DA5-820E-2E317B8BF987}"/>
                </c:ext>
              </c:extLst>
            </c:dLbl>
            <c:dLbl>
              <c:idx val="1"/>
              <c:layout>
                <c:manualLayout>
                  <c:x val="0"/>
                  <c:y val="2.8262202518802699E-2"/>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F56B-4DA5-820E-2E317B8BF987}"/>
                </c:ext>
              </c:extLst>
            </c:dLbl>
            <c:dLbl>
              <c:idx val="2"/>
              <c:layout>
                <c:manualLayout>
                  <c:x val="6.6065302874049814E-17"/>
                  <c:y val="2.1253666821059045E-2"/>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F56B-4DA5-820E-2E317B8BF987}"/>
                </c:ext>
              </c:extLst>
            </c:dLbl>
            <c:dLbl>
              <c:idx val="3"/>
              <c:layout>
                <c:manualLayout>
                  <c:x val="0"/>
                  <c:y val="2.1253666821059045E-2"/>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F56B-4DA5-820E-2E317B8BF987}"/>
                </c:ext>
              </c:extLst>
            </c:dLbl>
            <c:dLbl>
              <c:idx val="4"/>
              <c:layout>
                <c:manualLayout>
                  <c:x val="0"/>
                  <c:y val="2.7927391429012564E-2"/>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F56B-4DA5-820E-2E317B8BF987}"/>
                </c:ext>
              </c:extLst>
            </c:dLbl>
            <c:dLbl>
              <c:idx val="5"/>
              <c:layout>
                <c:manualLayout>
                  <c:x val="0"/>
                  <c:y val="2.2325150532654006E-2"/>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F56B-4DA5-820E-2E317B8BF98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onstantia" pitchFamily="18" charset="0"/>
                    <a:ea typeface="+mn-ea"/>
                    <a:cs typeface="+mn-cs"/>
                  </a:defRPr>
                </a:pPr>
                <a:endParaRPr lang="en-US"/>
              </a:p>
            </c:txPr>
            <c:dLblPos val="in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Afghanistan</c:v>
                </c:pt>
                <c:pt idx="1">
                  <c:v>Bangladesh</c:v>
                </c:pt>
                <c:pt idx="2">
                  <c:v>Bhutan</c:v>
                </c:pt>
                <c:pt idx="3">
                  <c:v>India</c:v>
                </c:pt>
                <c:pt idx="4">
                  <c:v>Nepal</c:v>
                </c:pt>
                <c:pt idx="5">
                  <c:v>Pakistan</c:v>
                </c:pt>
              </c:strCache>
            </c:strRef>
          </c:cat>
          <c:val>
            <c:numRef>
              <c:f>Sheet1!$B$2:$B$7</c:f>
              <c:numCache>
                <c:formatCode>General</c:formatCode>
                <c:ptCount val="6"/>
                <c:pt idx="0">
                  <c:v>9.6</c:v>
                </c:pt>
                <c:pt idx="1">
                  <c:v>5.5</c:v>
                </c:pt>
                <c:pt idx="2">
                  <c:v>3.7</c:v>
                </c:pt>
                <c:pt idx="3">
                  <c:v>3.7</c:v>
                </c:pt>
                <c:pt idx="4">
                  <c:v>17</c:v>
                </c:pt>
                <c:pt idx="5">
                  <c:v>33.800000000000004</c:v>
                </c:pt>
              </c:numCache>
            </c:numRef>
          </c:val>
          <c:extLst xmlns:c16r2="http://schemas.microsoft.com/office/drawing/2015/06/chart">
            <c:ext xmlns:c16="http://schemas.microsoft.com/office/drawing/2014/chart" uri="{C3380CC4-5D6E-409C-BE32-E72D297353CC}">
              <c16:uniqueId val="{00000000-C569-D44D-B539-8A502700F072}"/>
            </c:ext>
          </c:extLst>
        </c:ser>
        <c:dLbls>
          <c:showVal val="1"/>
        </c:dLbls>
        <c:gapWidth val="219"/>
        <c:overlap val="-27"/>
        <c:axId val="77074816"/>
        <c:axId val="77076352"/>
      </c:barChart>
      <c:catAx>
        <c:axId val="77074816"/>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onstantia" pitchFamily="18" charset="0"/>
                <a:ea typeface="+mn-ea"/>
                <a:cs typeface="+mn-cs"/>
              </a:defRPr>
            </a:pPr>
            <a:endParaRPr lang="en-US"/>
          </a:p>
        </c:txPr>
        <c:crossAx val="77076352"/>
        <c:crosses val="autoZero"/>
        <c:auto val="1"/>
        <c:lblAlgn val="ctr"/>
        <c:lblOffset val="100"/>
      </c:catAx>
      <c:valAx>
        <c:axId val="77076352"/>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GB" b="1"/>
                  <a:t>% of sales </a:t>
                </a:r>
              </a:p>
            </c:rich>
          </c:tx>
          <c:layout>
            <c:manualLayout>
              <c:xMode val="edge"/>
              <c:yMode val="edge"/>
              <c:x val="8.7227197201668855E-2"/>
              <c:y val="0.10444887490059471"/>
            </c:manualLayout>
          </c:layout>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onstantia" pitchFamily="18" charset="0"/>
                <a:ea typeface="+mn-ea"/>
                <a:cs typeface="+mn-cs"/>
              </a:defRPr>
            </a:pPr>
            <a:endParaRPr lang="en-US"/>
          </a:p>
        </c:txPr>
        <c:crossAx val="77074816"/>
        <c:crosses val="autoZero"/>
        <c:crossBetween val="between"/>
      </c:val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Sheet1!$B$1</c:f>
              <c:strCache>
                <c:ptCount val="1"/>
                <c:pt idx="0">
                  <c:v>Series 1</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onstantia" pitchFamily="18" charset="0"/>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Afg</c:v>
                </c:pt>
                <c:pt idx="1">
                  <c:v>Bngd</c:v>
                </c:pt>
                <c:pt idx="2">
                  <c:v>Btn</c:v>
                </c:pt>
                <c:pt idx="3">
                  <c:v>Ind</c:v>
                </c:pt>
                <c:pt idx="4">
                  <c:v>Mldvs</c:v>
                </c:pt>
                <c:pt idx="5">
                  <c:v>Npl</c:v>
                </c:pt>
                <c:pt idx="6">
                  <c:v>Pak</c:v>
                </c:pt>
                <c:pt idx="7">
                  <c:v>Sri</c:v>
                </c:pt>
              </c:strCache>
            </c:strRef>
          </c:cat>
          <c:val>
            <c:numRef>
              <c:f>Sheet1!$B$2:$B$9</c:f>
              <c:numCache>
                <c:formatCode>General</c:formatCode>
                <c:ptCount val="8"/>
                <c:pt idx="0">
                  <c:v>13.1</c:v>
                </c:pt>
                <c:pt idx="1">
                  <c:v>10.9</c:v>
                </c:pt>
                <c:pt idx="2">
                  <c:v>18.399999999999999</c:v>
                </c:pt>
                <c:pt idx="3">
                  <c:v>31.9</c:v>
                </c:pt>
                <c:pt idx="4">
                  <c:v>15.7</c:v>
                </c:pt>
                <c:pt idx="5">
                  <c:v>15.2</c:v>
                </c:pt>
                <c:pt idx="6">
                  <c:v>28.8</c:v>
                </c:pt>
                <c:pt idx="7">
                  <c:v>15.1</c:v>
                </c:pt>
              </c:numCache>
            </c:numRef>
          </c:val>
          <c:extLst xmlns:c16r2="http://schemas.microsoft.com/office/drawing/2015/06/chart">
            <c:ext xmlns:c16="http://schemas.microsoft.com/office/drawing/2014/chart" uri="{C3380CC4-5D6E-409C-BE32-E72D297353CC}">
              <c16:uniqueId val="{00000000-BDC0-4366-B689-9917C2A2693C}"/>
            </c:ext>
          </c:extLst>
        </c:ser>
        <c:dLbls>
          <c:showVal val="1"/>
        </c:dLbls>
        <c:gapWidth val="219"/>
        <c:overlap val="-27"/>
        <c:axId val="77293056"/>
        <c:axId val="77294592"/>
      </c:barChart>
      <c:catAx>
        <c:axId val="77293056"/>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onstantia" pitchFamily="18" charset="0"/>
                <a:ea typeface="+mn-ea"/>
                <a:cs typeface="+mn-cs"/>
              </a:defRPr>
            </a:pPr>
            <a:endParaRPr lang="en-US"/>
          </a:p>
        </c:txPr>
        <c:crossAx val="77294592"/>
        <c:crosses val="autoZero"/>
        <c:auto val="1"/>
        <c:lblAlgn val="ctr"/>
        <c:lblOffset val="100"/>
      </c:catAx>
      <c:valAx>
        <c:axId val="77294592"/>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onstantia" pitchFamily="18" charset="0"/>
                <a:ea typeface="+mn-ea"/>
                <a:cs typeface="+mn-cs"/>
              </a:defRPr>
            </a:pPr>
            <a:endParaRPr lang="en-US"/>
          </a:p>
        </c:txPr>
        <c:crossAx val="77293056"/>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000" b="1" i="0" u="none" strike="noStrike" kern="1200" spc="0" baseline="0">
                <a:solidFill>
                  <a:schemeClr val="tx1"/>
                </a:solidFill>
                <a:latin typeface="Constantia" pitchFamily="18" charset="0"/>
                <a:ea typeface="+mn-ea"/>
                <a:cs typeface="+mn-cs"/>
              </a:defRPr>
            </a:pPr>
            <a:r>
              <a:rPr lang="en-US" sz="1000" b="1" i="0" u="none" strike="noStrike" kern="1200" spc="0" baseline="0">
                <a:solidFill>
                  <a:schemeClr val="tx1"/>
                </a:solidFill>
                <a:latin typeface="Constantia" pitchFamily="18" charset="0"/>
              </a:rPr>
              <a:t>CBET within South Asia (expressed in Million Units)</a:t>
            </a:r>
          </a:p>
        </c:rich>
      </c:tx>
      <c:spPr>
        <a:noFill/>
        <a:ln>
          <a:noFill/>
        </a:ln>
        <a:effectLst/>
      </c:spPr>
    </c:title>
    <c:plotArea>
      <c:layout>
        <c:manualLayout>
          <c:layoutTarget val="inner"/>
          <c:xMode val="edge"/>
          <c:yMode val="edge"/>
          <c:x val="0.10166357545890982"/>
          <c:y val="0.1501011736139215"/>
          <c:w val="0.87347626295003988"/>
          <c:h val="0.71156087783644606"/>
        </c:manualLayout>
      </c:layout>
      <c:barChart>
        <c:barDir val="col"/>
        <c:grouping val="clustered"/>
        <c:ser>
          <c:idx val="0"/>
          <c:order val="0"/>
          <c:tx>
            <c:strRef>
              <c:f>Sheet1!$B$1</c:f>
              <c:strCache>
                <c:ptCount val="1"/>
                <c:pt idx="0">
                  <c:v>Series 1</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onstantia" pitchFamily="18" charset="0"/>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Sheet1!$A$2:$A$12</c:f>
              <c:strCache>
                <c:ptCount val="11"/>
                <c:pt idx="0">
                  <c:v>SA (Full)</c:v>
                </c:pt>
                <c:pt idx="1">
                  <c:v>SA (BBIN)</c:v>
                </c:pt>
                <c:pt idx="2">
                  <c:v>Bhtn to Ind</c:v>
                </c:pt>
                <c:pt idx="3">
                  <c:v>Ind to Bngld</c:v>
                </c:pt>
                <c:pt idx="4">
                  <c:v>Ind to Npl</c:v>
                </c:pt>
                <c:pt idx="5">
                  <c:v>Ind to Mynmr</c:v>
                </c:pt>
                <c:pt idx="6">
                  <c:v>Pak</c:v>
                </c:pt>
                <c:pt idx="7">
                  <c:v>Iran to Afg</c:v>
                </c:pt>
                <c:pt idx="8">
                  <c:v>Tjk to Afg</c:v>
                </c:pt>
                <c:pt idx="9">
                  <c:v>Uzb to Afg</c:v>
                </c:pt>
                <c:pt idx="10">
                  <c:v>Trkm to Afg</c:v>
                </c:pt>
              </c:strCache>
            </c:strRef>
          </c:cat>
          <c:val>
            <c:numRef>
              <c:f>Sheet1!$B$2:$B$12</c:f>
              <c:numCache>
                <c:formatCode>#,##0</c:formatCode>
                <c:ptCount val="11"/>
                <c:pt idx="0">
                  <c:v>21126</c:v>
                </c:pt>
                <c:pt idx="1">
                  <c:v>15652</c:v>
                </c:pt>
                <c:pt idx="2">
                  <c:v>6311</c:v>
                </c:pt>
                <c:pt idx="3">
                  <c:v>6988</c:v>
                </c:pt>
                <c:pt idx="4">
                  <c:v>2373</c:v>
                </c:pt>
                <c:pt idx="5" formatCode="General">
                  <c:v>9</c:v>
                </c:pt>
                <c:pt idx="7" formatCode="General">
                  <c:v>758</c:v>
                </c:pt>
                <c:pt idx="8">
                  <c:v>1462</c:v>
                </c:pt>
                <c:pt idx="9">
                  <c:v>2023</c:v>
                </c:pt>
                <c:pt idx="10" formatCode="General">
                  <c:v>688</c:v>
                </c:pt>
              </c:numCache>
            </c:numRef>
          </c:val>
          <c:extLst xmlns:c16r2="http://schemas.microsoft.com/office/drawing/2015/06/chart">
            <c:ext xmlns:c16="http://schemas.microsoft.com/office/drawing/2014/chart" uri="{C3380CC4-5D6E-409C-BE32-E72D297353CC}">
              <c16:uniqueId val="{00000000-DD5F-F345-B94E-7CB9357776F8}"/>
            </c:ext>
          </c:extLst>
        </c:ser>
        <c:dLbls>
          <c:showVal val="1"/>
        </c:dLbls>
        <c:gapWidth val="219"/>
        <c:overlap val="-27"/>
        <c:axId val="77322880"/>
        <c:axId val="77312384"/>
      </c:barChart>
      <c:catAx>
        <c:axId val="77322880"/>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onstantia" pitchFamily="18" charset="0"/>
                <a:ea typeface="+mn-ea"/>
                <a:cs typeface="+mn-cs"/>
              </a:defRPr>
            </a:pPr>
            <a:endParaRPr lang="en-US"/>
          </a:p>
        </c:txPr>
        <c:crossAx val="77312384"/>
        <c:crosses val="autoZero"/>
        <c:lblAlgn val="ctr"/>
        <c:lblOffset val="100"/>
      </c:catAx>
      <c:valAx>
        <c:axId val="77312384"/>
        <c:scaling>
          <c:orientation val="minMax"/>
        </c:scaling>
        <c:axPos val="l"/>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onstantia" pitchFamily="18" charset="0"/>
                <a:ea typeface="+mn-ea"/>
                <a:cs typeface="+mn-cs"/>
              </a:defRPr>
            </a:pPr>
            <a:endParaRPr lang="en-US"/>
          </a:p>
        </c:txPr>
        <c:crossAx val="77322880"/>
        <c:crosses val="autoZero"/>
        <c:crossBetween val="between"/>
      </c:val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userShapes r:id="rId2"/>
</c:chartSpace>
</file>

<file path=word/drawings/drawing1.xml><?xml version="1.0" encoding="utf-8"?>
<c:userShapes xmlns:c="http://schemas.openxmlformats.org/drawingml/2006/chart">
  <cdr:relSizeAnchor xmlns:cdr="http://schemas.openxmlformats.org/drawingml/2006/chartDrawing">
    <cdr:from>
      <cdr:x>0.58266</cdr:x>
      <cdr:y>0.64043</cdr:y>
    </cdr:from>
    <cdr:to>
      <cdr:x>0.65631</cdr:x>
      <cdr:y>0.96671</cdr:y>
    </cdr:to>
    <cdr:sp macro="" textlink="">
      <cdr:nvSpPr>
        <cdr:cNvPr id="2" name="Oval 1"/>
        <cdr:cNvSpPr/>
      </cdr:nvSpPr>
      <cdr:spPr>
        <a:xfrm xmlns:a="http://schemas.openxmlformats.org/drawingml/2006/main">
          <a:off x="2976563" y="2009776"/>
          <a:ext cx="376237" cy="1023937"/>
        </a:xfrm>
        <a:prstGeom xmlns:a="http://schemas.openxmlformats.org/drawingml/2006/main" prst="ellipse">
          <a:avLst/>
        </a:prstGeom>
        <a:noFill xmlns:a="http://schemas.openxmlformats.org/drawingml/2006/main"/>
        <a:ln xmlns:a="http://schemas.openxmlformats.org/drawingml/2006/main" w="28575">
          <a:solidFill>
            <a:srgbClr val="FF0000"/>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20691-B239-456C-9877-7BCEA0143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Pages>
  <Words>1255</Words>
  <Characters>7158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 Research</dc:creator>
  <cp:lastModifiedBy>NDU</cp:lastModifiedBy>
  <cp:revision>165</cp:revision>
  <cp:lastPrinted>2023-11-14T04:34:00Z</cp:lastPrinted>
  <dcterms:created xsi:type="dcterms:W3CDTF">2023-09-11T04:59:00Z</dcterms:created>
  <dcterms:modified xsi:type="dcterms:W3CDTF">2024-03-14T10:02:00Z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43701f6e-678d-4799-9797-bb1b94598bc3</vt:lpwstr>
  </property>
</Properties>
</file>